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9163907" w:displacedByCustomXml="next"/>
    <w:sdt>
      <w:sdtPr>
        <w:id w:val="-1309079171"/>
        <w:docPartObj>
          <w:docPartGallery w:val="Cover Pages"/>
          <w:docPartUnique/>
        </w:docPartObj>
      </w:sdtPr>
      <w:sdtContent>
        <w:p w14:paraId="04337928" w14:textId="77777777" w:rsidR="00233ED1" w:rsidRDefault="005D7B6E">
          <w:r>
            <w:rPr>
              <w:noProof/>
            </w:rPr>
            <w:drawing>
              <wp:anchor distT="0" distB="0" distL="114300" distR="114300" simplePos="0" relativeHeight="251658243" behindDoc="0" locked="0" layoutInCell="1" allowOverlap="1" wp14:anchorId="4FD9B8FB" wp14:editId="5108A0B3">
                <wp:simplePos x="0" y="0"/>
                <wp:positionH relativeFrom="column">
                  <wp:posOffset>0</wp:posOffset>
                </wp:positionH>
                <wp:positionV relativeFrom="paragraph">
                  <wp:posOffset>322366</wp:posOffset>
                </wp:positionV>
                <wp:extent cx="3297776" cy="1120140"/>
                <wp:effectExtent l="0" t="0" r="0" b="0"/>
                <wp:wrapNone/>
                <wp:docPr id="684025914" name="Picture 17" descr="Aging and Disability Health Policy L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25914" name="Picture 17" descr="Aging and Disability Health Policy Lab logo"/>
                        <pic:cNvPicPr/>
                      </pic:nvPicPr>
                      <pic:blipFill rotWithShape="1">
                        <a:blip r:embed="rId12" cstate="print">
                          <a:extLst>
                            <a:ext uri="{28A0092B-C50C-407E-A947-70E740481C1C}">
                              <a14:useLocalDpi xmlns:a14="http://schemas.microsoft.com/office/drawing/2010/main" val="0"/>
                            </a:ext>
                          </a:extLst>
                        </a:blip>
                        <a:srcRect l="3594"/>
                        <a:stretch>
                          <a:fillRect/>
                        </a:stretch>
                      </pic:blipFill>
                      <pic:spPr bwMode="auto">
                        <a:xfrm>
                          <a:off x="0" y="0"/>
                          <a:ext cx="3297776" cy="112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ED1">
            <w:rPr>
              <w:noProof/>
            </w:rPr>
            <mc:AlternateContent>
              <mc:Choice Requires="wps">
                <w:drawing>
                  <wp:anchor distT="0" distB="0" distL="114300" distR="114300" simplePos="0" relativeHeight="251658242" behindDoc="1" locked="0" layoutInCell="1" allowOverlap="1" wp14:anchorId="731BFDB6" wp14:editId="51B57106">
                    <wp:simplePos x="0" y="0"/>
                    <wp:positionH relativeFrom="column">
                      <wp:posOffset>-452487</wp:posOffset>
                    </wp:positionH>
                    <wp:positionV relativeFrom="paragraph">
                      <wp:posOffset>-452487</wp:posOffset>
                    </wp:positionV>
                    <wp:extent cx="6858000" cy="7315200"/>
                    <wp:effectExtent l="0" t="0" r="0" b="0"/>
                    <wp:wrapNone/>
                    <wp:docPr id="1891780894"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ACF53" w14:textId="776AAC4C" w:rsidR="00D53E45" w:rsidRDefault="00A43386" w:rsidP="00D53E45">
                                <w:pPr>
                                  <w:pStyle w:val="NoSpacing"/>
                                  <w:spacing w:before="240" w:after="240"/>
                                  <w:rPr>
                                    <w:rFonts w:ascii="Tahoma" w:eastAsiaTheme="majorEastAsia" w:hAnsi="Tahoma" w:cs="Tahoma"/>
                                    <w:b/>
                                    <w:bCs/>
                                    <w:sz w:val="64"/>
                                    <w:szCs w:val="64"/>
                                  </w:rPr>
                                </w:pPr>
                                <w:r>
                                  <w:rPr>
                                    <w:rFonts w:ascii="Tahoma" w:eastAsiaTheme="majorEastAsia" w:hAnsi="Tahoma" w:cs="Tahoma"/>
                                    <w:b/>
                                    <w:bCs/>
                                    <w:sz w:val="64"/>
                                    <w:szCs w:val="64"/>
                                  </w:rPr>
                                  <w:br/>
                                </w:r>
                                <w:r w:rsidR="00D53E45" w:rsidRPr="00D53E45">
                                  <w:rPr>
                                    <w:rFonts w:ascii="Tahoma" w:eastAsiaTheme="majorEastAsia" w:hAnsi="Tahoma" w:cs="Tahoma"/>
                                    <w:b/>
                                    <w:bCs/>
                                    <w:sz w:val="64"/>
                                    <w:szCs w:val="64"/>
                                  </w:rPr>
                                  <w:t>Simplifying Access to Medicare Savings Programs</w:t>
                                </w:r>
                              </w:p>
                              <w:p w14:paraId="678B12E0" w14:textId="3F8E7700" w:rsidR="00233ED1" w:rsidRPr="00B36604" w:rsidRDefault="00A43386" w:rsidP="00D53E45">
                                <w:pPr>
                                  <w:pStyle w:val="NoSpacing"/>
                                  <w:spacing w:before="240" w:after="240"/>
                                  <w:rPr>
                                    <w:rFonts w:ascii="Tahoma" w:eastAsiaTheme="majorEastAsia" w:hAnsi="Tahoma" w:cs="Tahoma"/>
                                    <w:b/>
                                    <w:bCs/>
                                    <w:color w:val="386641" w:themeColor="accent1"/>
                                    <w:sz w:val="64"/>
                                    <w:szCs w:val="64"/>
                                  </w:rPr>
                                </w:pPr>
                                <w:r>
                                  <w:rPr>
                                    <w:rFonts w:ascii="Tahoma" w:hAnsi="Tahoma" w:cs="Tahoma"/>
                                    <w:color w:val="386641" w:themeColor="accent1"/>
                                    <w:sz w:val="40"/>
                                    <w:szCs w:val="40"/>
                                  </w:rPr>
                                  <w:t xml:space="preserve">Draft </w:t>
                                </w:r>
                                <w:r w:rsidR="00D53E45" w:rsidRPr="00B36604">
                                  <w:rPr>
                                    <w:rFonts w:ascii="Tahoma" w:hAnsi="Tahoma" w:cs="Tahoma"/>
                                    <w:color w:val="386641" w:themeColor="accent1"/>
                                    <w:sz w:val="40"/>
                                    <w:szCs w:val="40"/>
                                  </w:rPr>
                                  <w:t>State Model Policies (For Public Comment)</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1BFDB6" id="_x0000_t202" coordsize="21600,21600" o:spt="202" path="m,l,21600r21600,l21600,xe">
                    <v:stroke joinstyle="miter"/>
                    <v:path gradientshapeok="t" o:connecttype="rect"/>
                  </v:shapetype>
                  <v:shape id="Text Box 122" o:spid="_x0000_s1026" type="#_x0000_t202" style="position:absolute;margin-left:-35.65pt;margin-top:-35.65pt;width:540pt;height:8in;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" filled="f" stroked="f" strokeweight=".5pt">
                    <v:textbox inset="36pt,36pt,36pt,36pt">
                      <w:txbxContent>
                        <w:p w14:paraId="3AFACF53" w14:textId="776AAC4C" w:rsidR="00D53E45" w:rsidRDefault="00A43386" w:rsidP="00D53E45">
                          <w:pPr>
                            <w:pStyle w:val="NoSpacing"/>
                            <w:spacing w:before="240" w:after="240"/>
                            <w:rPr>
                              <w:rFonts w:ascii="Tahoma" w:eastAsiaTheme="majorEastAsia" w:hAnsi="Tahoma" w:cs="Tahoma"/>
                              <w:b/>
                              <w:bCs/>
                              <w:sz w:val="64"/>
                              <w:szCs w:val="64"/>
                            </w:rPr>
                          </w:pPr>
                          <w:r>
                            <w:rPr>
                              <w:rFonts w:ascii="Tahoma" w:eastAsiaTheme="majorEastAsia" w:hAnsi="Tahoma" w:cs="Tahoma"/>
                              <w:b/>
                              <w:bCs/>
                              <w:sz w:val="64"/>
                              <w:szCs w:val="64"/>
                            </w:rPr>
                            <w:br/>
                          </w:r>
                          <w:r w:rsidR="00D53E45" w:rsidRPr="00D53E45">
                            <w:rPr>
                              <w:rFonts w:ascii="Tahoma" w:eastAsiaTheme="majorEastAsia" w:hAnsi="Tahoma" w:cs="Tahoma"/>
                              <w:b/>
                              <w:bCs/>
                              <w:sz w:val="64"/>
                              <w:szCs w:val="64"/>
                            </w:rPr>
                            <w:t>Simplifying Access to Medicare Savings Programs</w:t>
                          </w:r>
                        </w:p>
                        <w:p w14:paraId="678B12E0" w14:textId="3F8E7700" w:rsidR="00233ED1" w:rsidRPr="00B36604" w:rsidRDefault="00A43386" w:rsidP="00D53E45">
                          <w:pPr>
                            <w:pStyle w:val="NoSpacing"/>
                            <w:spacing w:before="240" w:after="240"/>
                            <w:rPr>
                              <w:rFonts w:ascii="Tahoma" w:eastAsiaTheme="majorEastAsia" w:hAnsi="Tahoma" w:cs="Tahoma"/>
                              <w:b/>
                              <w:bCs/>
                              <w:color w:val="386641" w:themeColor="accent1"/>
                              <w:sz w:val="64"/>
                              <w:szCs w:val="64"/>
                            </w:rPr>
                          </w:pPr>
                          <w:r>
                            <w:rPr>
                              <w:rFonts w:ascii="Tahoma" w:hAnsi="Tahoma" w:cs="Tahoma"/>
                              <w:color w:val="386641" w:themeColor="accent1"/>
                              <w:sz w:val="40"/>
                              <w:szCs w:val="40"/>
                            </w:rPr>
                            <w:t xml:space="preserve">Draft </w:t>
                          </w:r>
                          <w:r w:rsidR="00D53E45" w:rsidRPr="00B36604">
                            <w:rPr>
                              <w:rFonts w:ascii="Tahoma" w:hAnsi="Tahoma" w:cs="Tahoma"/>
                              <w:color w:val="386641" w:themeColor="accent1"/>
                              <w:sz w:val="40"/>
                              <w:szCs w:val="40"/>
                            </w:rPr>
                            <w:t>State Model Policies (For Public Comment)</w:t>
                          </w:r>
                        </w:p>
                      </w:txbxContent>
                    </v:textbox>
                  </v:shape>
                </w:pict>
              </mc:Fallback>
            </mc:AlternateContent>
          </w:r>
        </w:p>
        <w:p w14:paraId="45BBAC40" w14:textId="77777777" w:rsidR="005D7B6E" w:rsidRDefault="005D7B6E" w:rsidP="005D7B6E">
          <w:pPr>
            <w:spacing w:after="160"/>
            <w:rPr>
              <w:noProof/>
            </w:rPr>
          </w:pPr>
          <w:r>
            <w:rPr>
              <w:noProof/>
            </w:rPr>
            <mc:AlternateContent>
              <mc:Choice Requires="wps">
                <w:drawing>
                  <wp:anchor distT="0" distB="0" distL="114300" distR="114300" simplePos="0" relativeHeight="251658241" behindDoc="1" locked="0" layoutInCell="1" allowOverlap="1" wp14:anchorId="085826CB" wp14:editId="3053CE51">
                    <wp:simplePos x="0" y="0"/>
                    <wp:positionH relativeFrom="column">
                      <wp:posOffset>-451262</wp:posOffset>
                    </wp:positionH>
                    <wp:positionV relativeFrom="paragraph">
                      <wp:posOffset>6512783</wp:posOffset>
                    </wp:positionV>
                    <wp:extent cx="6877793" cy="142875"/>
                    <wp:effectExtent l="0" t="0" r="18415" b="28575"/>
                    <wp:wrapNone/>
                    <wp:docPr id="2083654271" name="Rectangle 120"/>
                    <wp:cNvGraphicFramePr/>
                    <a:graphic xmlns:a="http://schemas.openxmlformats.org/drawingml/2006/main">
                      <a:graphicData uri="http://schemas.microsoft.com/office/word/2010/wordprocessingShape">
                        <wps:wsp>
                          <wps:cNvSpPr/>
                          <wps:spPr>
                            <a:xfrm>
                              <a:off x="0" y="0"/>
                              <a:ext cx="6877793" cy="142875"/>
                            </a:xfrm>
                            <a:prstGeom prst="roundRect">
                              <a:avLst/>
                            </a:prstGeom>
                            <a:solidFill>
                              <a:schemeClr val="accent2"/>
                            </a:solidFill>
                            <a:ln>
                              <a:solidFill>
                                <a:schemeClr val="accent2"/>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120" style="position:absolute;margin-left:-35.55pt;margin-top:512.8pt;width:541.55pt;height:11.2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994e [3205]" strokecolor="#6a994e [3205]" arcsize="10923f" w14:anchorId="2640F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"/>
                </w:pict>
              </mc:Fallback>
            </mc:AlternateContent>
          </w:r>
        </w:p>
        <w:p w14:paraId="4BCC0058" w14:textId="77777777" w:rsidR="00233ED1" w:rsidRDefault="005D7B6E" w:rsidP="005D7B6E">
          <w:pPr>
            <w:spacing w:after="160"/>
          </w:pPr>
          <w:r>
            <w:rPr>
              <w:noProof/>
            </w:rPr>
            <mc:AlternateContent>
              <mc:Choice Requires="wps">
                <w:drawing>
                  <wp:anchor distT="0" distB="0" distL="114300" distR="114300" simplePos="0" relativeHeight="251658240" behindDoc="1" locked="0" layoutInCell="1" allowOverlap="1" wp14:anchorId="43837FCE" wp14:editId="3189E673">
                    <wp:simplePos x="0" y="0"/>
                    <wp:positionH relativeFrom="column">
                      <wp:posOffset>-453358</wp:posOffset>
                    </wp:positionH>
                    <wp:positionV relativeFrom="paragraph">
                      <wp:posOffset>6472224</wp:posOffset>
                    </wp:positionV>
                    <wp:extent cx="6873875" cy="1609784"/>
                    <wp:effectExtent l="0" t="0" r="22225" b="28575"/>
                    <wp:wrapNone/>
                    <wp:docPr id="1163776670" name="Rectangle 121"/>
                    <wp:cNvGraphicFramePr/>
                    <a:graphic xmlns:a="http://schemas.openxmlformats.org/drawingml/2006/main">
                      <a:graphicData uri="http://schemas.microsoft.com/office/word/2010/wordprocessingShape">
                        <wps:wsp>
                          <wps:cNvSpPr/>
                          <wps:spPr>
                            <a:xfrm>
                              <a:off x="0" y="0"/>
                              <a:ext cx="6873875" cy="1609784"/>
                            </a:xfrm>
                            <a:prstGeom prst="roundRect">
                              <a:avLst>
                                <a:gd name="adj" fmla="val 1961"/>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46744376" w14:textId="0CA833ED" w:rsidR="00233ED1" w:rsidRPr="00284F9C" w:rsidRDefault="00F23B14" w:rsidP="00F11EF3">
                                <w:pPr>
                                  <w:pStyle w:val="NoSpacing"/>
                                  <w:jc w:val="right"/>
                                  <w:rPr>
                                    <w:rFonts w:ascii="Tahoma" w:hAnsi="Tahoma" w:cs="Tahoma"/>
                                    <w:caps/>
                                    <w:color w:val="FFFFFF" w:themeColor="background1"/>
                                  </w:rPr>
                                </w:pPr>
                                <w:sdt>
                                  <w:sdtPr>
                                    <w:rPr>
                                      <w:rFonts w:ascii="Tahoma" w:hAnsi="Tahoma" w:cs="Tahoma"/>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F11EF3">
                                      <w:rPr>
                                        <w:rFonts w:ascii="Tahoma" w:hAnsi="Tahoma" w:cs="Tahoma"/>
                                        <w:color w:val="FFFFFF" w:themeColor="background1"/>
                                      </w:rPr>
                                      <w:t>May 11</w:t>
                                    </w:r>
                                    <w:r w:rsidR="00D53E45">
                                      <w:rPr>
                                        <w:rFonts w:ascii="Tahoma" w:hAnsi="Tahoma" w:cs="Tahoma"/>
                                        <w:color w:val="FFFFFF" w:themeColor="background1"/>
                                      </w:rPr>
                                      <w:t>, 2026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37FCE" id="Rectangle 121" o:spid="_x0000_s1027" style="position:absolute;margin-left:-35.7pt;margin-top:509.6pt;width:541.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" fillcolor="#386641 [3204]" strokecolor="#386641 [3204]">
                    <v:textbox inset="36pt,14.4pt,36pt,36pt">
                      <w:txbxContent>
                        <w:p w14:paraId="46744376" w14:textId="0CA833ED" w:rsidR="00233ED1" w:rsidRPr="00284F9C" w:rsidRDefault="00F23B14" w:rsidP="00F11EF3">
                          <w:pPr>
                            <w:pStyle w:val="NoSpacing"/>
                            <w:jc w:val="right"/>
                            <w:rPr>
                              <w:rFonts w:ascii="Tahoma" w:hAnsi="Tahoma" w:cs="Tahoma"/>
                              <w:caps/>
                              <w:color w:val="FFFFFF" w:themeColor="background1"/>
                            </w:rPr>
                          </w:pPr>
                          <w:sdt>
                            <w:sdtPr>
                              <w:rPr>
                                <w:rFonts w:ascii="Tahoma" w:hAnsi="Tahoma" w:cs="Tahoma"/>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F11EF3">
                                <w:rPr>
                                  <w:rFonts w:ascii="Tahoma" w:hAnsi="Tahoma" w:cs="Tahoma"/>
                                  <w:color w:val="FFFFFF" w:themeColor="background1"/>
                                </w:rPr>
                                <w:t>May 11</w:t>
                              </w:r>
                              <w:r w:rsidR="00D53E45">
                                <w:rPr>
                                  <w:rFonts w:ascii="Tahoma" w:hAnsi="Tahoma" w:cs="Tahoma"/>
                                  <w:color w:val="FFFFFF" w:themeColor="background1"/>
                                </w:rPr>
                                <w:t>, 2026</w:t>
                              </w:r>
                            </w:sdtContent>
                          </w:sdt>
                        </w:p>
                      </w:txbxContent>
                    </v:textbox>
                  </v:roundrect>
                </w:pict>
              </mc:Fallback>
            </mc:AlternateContent>
          </w:r>
          <w:r w:rsidR="00233ED1">
            <w:br w:type="page"/>
          </w:r>
        </w:p>
      </w:sdtContent>
    </w:sdt>
    <w:bookmarkEnd w:id="0" w:displacedByCustomXml="next"/>
    <w:sdt>
      <w:sdtPr>
        <w:rPr>
          <w:rFonts w:eastAsiaTheme="minorEastAsia" w:cstheme="minorBidi"/>
          <w:b w:val="0"/>
          <w:iCs w:val="0"/>
          <w:color w:val="414150" w:themeColor="text1"/>
          <w:sz w:val="24"/>
        </w:rPr>
        <w:id w:val="-766689646"/>
        <w:docPartObj>
          <w:docPartGallery w:val="Table of Contents"/>
          <w:docPartUnique/>
        </w:docPartObj>
      </w:sdtPr>
      <w:sdtEndPr>
        <w:rPr>
          <w:noProof/>
        </w:rPr>
      </w:sdtEndPr>
      <w:sdtContent>
        <w:p w14:paraId="18C176E1" w14:textId="77777777" w:rsidR="00D430BD" w:rsidRDefault="00D430BD" w:rsidP="00631C5B">
          <w:pPr>
            <w:pStyle w:val="TOCHeading"/>
          </w:pPr>
          <w:r>
            <w:t>Contents</w:t>
          </w:r>
        </w:p>
        <w:p w14:paraId="57A0ED30" w14:textId="5CDC142F" w:rsidR="00BD1249" w:rsidRDefault="00FB59D8">
          <w:pPr>
            <w:pStyle w:val="TOC1"/>
            <w:rPr>
              <w:rFonts w:asciiTheme="minorHAnsi" w:eastAsiaTheme="minorEastAsia" w:hAnsiTheme="minorHAnsi"/>
              <w:color w:val="auto"/>
              <w:kern w:val="2"/>
              <w14:ligatures w14:val="standardContextual"/>
            </w:rPr>
          </w:pPr>
          <w:r>
            <w:fldChar w:fldCharType="begin"/>
          </w:r>
          <w:r>
            <w:instrText xml:space="preserve"> TOC \h \z \t "Heading 1,1,Heading 2,2,Technical Appendix Header,3" </w:instrText>
          </w:r>
          <w:r>
            <w:fldChar w:fldCharType="separate"/>
          </w:r>
          <w:hyperlink w:anchor="_Toc226982629" w:history="1">
            <w:r w:rsidR="00BD1249" w:rsidRPr="00B00C9A">
              <w:rPr>
                <w:rStyle w:val="Hyperlink"/>
              </w:rPr>
              <w:t>Simplifying Access to the Medicare Savings Programs</w:t>
            </w:r>
            <w:r w:rsidR="00BD1249">
              <w:rPr>
                <w:webHidden/>
              </w:rPr>
              <w:tab/>
            </w:r>
            <w:r w:rsidR="00BD1249">
              <w:rPr>
                <w:webHidden/>
              </w:rPr>
              <w:fldChar w:fldCharType="begin"/>
            </w:r>
            <w:r w:rsidR="00BD1249">
              <w:rPr>
                <w:webHidden/>
              </w:rPr>
              <w:instrText xml:space="preserve"> PAGEREF _Toc226982629 \h </w:instrText>
            </w:r>
            <w:r w:rsidR="00BD1249">
              <w:rPr>
                <w:webHidden/>
              </w:rPr>
            </w:r>
            <w:r w:rsidR="00BD1249">
              <w:rPr>
                <w:webHidden/>
              </w:rPr>
              <w:fldChar w:fldCharType="separate"/>
            </w:r>
            <w:r w:rsidR="00B17BC9">
              <w:rPr>
                <w:webHidden/>
              </w:rPr>
              <w:t>3</w:t>
            </w:r>
            <w:r w:rsidR="00BD1249">
              <w:rPr>
                <w:webHidden/>
              </w:rPr>
              <w:fldChar w:fldCharType="end"/>
            </w:r>
          </w:hyperlink>
        </w:p>
        <w:p w14:paraId="53B83F40" w14:textId="2B69327A"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0" w:history="1">
            <w:r w:rsidRPr="00B00C9A">
              <w:rPr>
                <w:rStyle w:val="Hyperlink"/>
                <w:noProof/>
              </w:rPr>
              <w:t>State Model Policies</w:t>
            </w:r>
            <w:r>
              <w:rPr>
                <w:noProof/>
                <w:webHidden/>
              </w:rPr>
              <w:tab/>
            </w:r>
            <w:r>
              <w:rPr>
                <w:noProof/>
                <w:webHidden/>
              </w:rPr>
              <w:fldChar w:fldCharType="begin"/>
            </w:r>
            <w:r>
              <w:rPr>
                <w:noProof/>
                <w:webHidden/>
              </w:rPr>
              <w:instrText xml:space="preserve"> PAGEREF _Toc226982630 \h </w:instrText>
            </w:r>
            <w:r>
              <w:rPr>
                <w:noProof/>
                <w:webHidden/>
              </w:rPr>
            </w:r>
            <w:r>
              <w:rPr>
                <w:noProof/>
                <w:webHidden/>
              </w:rPr>
              <w:fldChar w:fldCharType="separate"/>
            </w:r>
            <w:r w:rsidR="00B17BC9">
              <w:rPr>
                <w:noProof/>
                <w:webHidden/>
              </w:rPr>
              <w:t>4</w:t>
            </w:r>
            <w:r>
              <w:rPr>
                <w:noProof/>
                <w:webHidden/>
              </w:rPr>
              <w:fldChar w:fldCharType="end"/>
            </w:r>
          </w:hyperlink>
        </w:p>
        <w:p w14:paraId="5E5F5AE8" w14:textId="51E4AA2B" w:rsidR="00BD1249" w:rsidRDefault="00BD1249">
          <w:pPr>
            <w:pStyle w:val="TOC1"/>
            <w:rPr>
              <w:rFonts w:asciiTheme="minorHAnsi" w:eastAsiaTheme="minorEastAsia" w:hAnsiTheme="minorHAnsi"/>
              <w:color w:val="auto"/>
              <w:kern w:val="2"/>
              <w14:ligatures w14:val="standardContextual"/>
            </w:rPr>
          </w:pPr>
          <w:hyperlink w:anchor="_Toc226982631" w:history="1">
            <w:r w:rsidRPr="00B00C9A">
              <w:rPr>
                <w:rStyle w:val="Hyperlink"/>
              </w:rPr>
              <w:t>Eliminate the Asset Test</w:t>
            </w:r>
            <w:r>
              <w:rPr>
                <w:webHidden/>
              </w:rPr>
              <w:tab/>
            </w:r>
            <w:r>
              <w:rPr>
                <w:webHidden/>
              </w:rPr>
              <w:fldChar w:fldCharType="begin"/>
            </w:r>
            <w:r>
              <w:rPr>
                <w:webHidden/>
              </w:rPr>
              <w:instrText xml:space="preserve"> PAGEREF _Toc226982631 \h </w:instrText>
            </w:r>
            <w:r>
              <w:rPr>
                <w:webHidden/>
              </w:rPr>
            </w:r>
            <w:r>
              <w:rPr>
                <w:webHidden/>
              </w:rPr>
              <w:fldChar w:fldCharType="separate"/>
            </w:r>
            <w:r w:rsidR="00B17BC9">
              <w:rPr>
                <w:webHidden/>
              </w:rPr>
              <w:t>9</w:t>
            </w:r>
            <w:r>
              <w:rPr>
                <w:webHidden/>
              </w:rPr>
              <w:fldChar w:fldCharType="end"/>
            </w:r>
          </w:hyperlink>
        </w:p>
        <w:p w14:paraId="0B2F5C43" w14:textId="6CCC7B75"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2" w:history="1">
            <w:r w:rsidRPr="00B00C9A">
              <w:rPr>
                <w:rStyle w:val="Hyperlink"/>
                <w:noProof/>
              </w:rPr>
              <w:t>Summary</w:t>
            </w:r>
            <w:r>
              <w:rPr>
                <w:noProof/>
                <w:webHidden/>
              </w:rPr>
              <w:tab/>
            </w:r>
            <w:r>
              <w:rPr>
                <w:noProof/>
                <w:webHidden/>
              </w:rPr>
              <w:fldChar w:fldCharType="begin"/>
            </w:r>
            <w:r>
              <w:rPr>
                <w:noProof/>
                <w:webHidden/>
              </w:rPr>
              <w:instrText xml:space="preserve"> PAGEREF _Toc226982632 \h </w:instrText>
            </w:r>
            <w:r>
              <w:rPr>
                <w:noProof/>
                <w:webHidden/>
              </w:rPr>
            </w:r>
            <w:r>
              <w:rPr>
                <w:noProof/>
                <w:webHidden/>
              </w:rPr>
              <w:fldChar w:fldCharType="separate"/>
            </w:r>
            <w:r w:rsidR="00B17BC9">
              <w:rPr>
                <w:noProof/>
                <w:webHidden/>
              </w:rPr>
              <w:t>9</w:t>
            </w:r>
            <w:r>
              <w:rPr>
                <w:noProof/>
                <w:webHidden/>
              </w:rPr>
              <w:fldChar w:fldCharType="end"/>
            </w:r>
          </w:hyperlink>
        </w:p>
        <w:p w14:paraId="32F331FC" w14:textId="22ABC5FE"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3" w:history="1">
            <w:r w:rsidRPr="00B00C9A">
              <w:rPr>
                <w:rStyle w:val="Hyperlink"/>
                <w:noProof/>
              </w:rPr>
              <w:t>Model Legislative Text</w:t>
            </w:r>
            <w:r>
              <w:rPr>
                <w:noProof/>
                <w:webHidden/>
              </w:rPr>
              <w:tab/>
            </w:r>
            <w:r>
              <w:rPr>
                <w:noProof/>
                <w:webHidden/>
              </w:rPr>
              <w:fldChar w:fldCharType="begin"/>
            </w:r>
            <w:r>
              <w:rPr>
                <w:noProof/>
                <w:webHidden/>
              </w:rPr>
              <w:instrText xml:space="preserve"> PAGEREF _Toc226982633 \h </w:instrText>
            </w:r>
            <w:r>
              <w:rPr>
                <w:noProof/>
                <w:webHidden/>
              </w:rPr>
            </w:r>
            <w:r>
              <w:rPr>
                <w:noProof/>
                <w:webHidden/>
              </w:rPr>
              <w:fldChar w:fldCharType="separate"/>
            </w:r>
            <w:r w:rsidR="00B17BC9">
              <w:rPr>
                <w:noProof/>
                <w:webHidden/>
              </w:rPr>
              <w:t>11</w:t>
            </w:r>
            <w:r>
              <w:rPr>
                <w:noProof/>
                <w:webHidden/>
              </w:rPr>
              <w:fldChar w:fldCharType="end"/>
            </w:r>
          </w:hyperlink>
        </w:p>
        <w:p w14:paraId="36D15A81" w14:textId="5E27822B"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4" w:history="1">
            <w:r w:rsidRPr="00B00C9A">
              <w:rPr>
                <w:rStyle w:val="Hyperlink"/>
                <w:noProof/>
              </w:rPr>
              <w:t>Analysis</w:t>
            </w:r>
            <w:r>
              <w:rPr>
                <w:noProof/>
                <w:webHidden/>
              </w:rPr>
              <w:tab/>
            </w:r>
            <w:r>
              <w:rPr>
                <w:noProof/>
                <w:webHidden/>
              </w:rPr>
              <w:fldChar w:fldCharType="begin"/>
            </w:r>
            <w:r>
              <w:rPr>
                <w:noProof/>
                <w:webHidden/>
              </w:rPr>
              <w:instrText xml:space="preserve"> PAGEREF _Toc226982634 \h </w:instrText>
            </w:r>
            <w:r>
              <w:rPr>
                <w:noProof/>
                <w:webHidden/>
              </w:rPr>
            </w:r>
            <w:r>
              <w:rPr>
                <w:noProof/>
                <w:webHidden/>
              </w:rPr>
              <w:fldChar w:fldCharType="separate"/>
            </w:r>
            <w:r w:rsidR="00B17BC9">
              <w:rPr>
                <w:noProof/>
                <w:webHidden/>
              </w:rPr>
              <w:t>12</w:t>
            </w:r>
            <w:r>
              <w:rPr>
                <w:noProof/>
                <w:webHidden/>
              </w:rPr>
              <w:fldChar w:fldCharType="end"/>
            </w:r>
          </w:hyperlink>
        </w:p>
        <w:p w14:paraId="1889C50E" w14:textId="2A100D78"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5" w:history="1">
            <w:r w:rsidRPr="00B00C9A">
              <w:rPr>
                <w:rStyle w:val="Hyperlink"/>
                <w:noProof/>
              </w:rPr>
              <w:t>Questions and Answers</w:t>
            </w:r>
            <w:r>
              <w:rPr>
                <w:noProof/>
                <w:webHidden/>
              </w:rPr>
              <w:tab/>
            </w:r>
            <w:r>
              <w:rPr>
                <w:noProof/>
                <w:webHidden/>
              </w:rPr>
              <w:fldChar w:fldCharType="begin"/>
            </w:r>
            <w:r>
              <w:rPr>
                <w:noProof/>
                <w:webHidden/>
              </w:rPr>
              <w:instrText xml:space="preserve"> PAGEREF _Toc226982635 \h </w:instrText>
            </w:r>
            <w:r>
              <w:rPr>
                <w:noProof/>
                <w:webHidden/>
              </w:rPr>
            </w:r>
            <w:r>
              <w:rPr>
                <w:noProof/>
                <w:webHidden/>
              </w:rPr>
              <w:fldChar w:fldCharType="separate"/>
            </w:r>
            <w:r w:rsidR="00B17BC9">
              <w:rPr>
                <w:noProof/>
                <w:webHidden/>
              </w:rPr>
              <w:t>14</w:t>
            </w:r>
            <w:r>
              <w:rPr>
                <w:noProof/>
                <w:webHidden/>
              </w:rPr>
              <w:fldChar w:fldCharType="end"/>
            </w:r>
          </w:hyperlink>
        </w:p>
        <w:p w14:paraId="78597AC8" w14:textId="6FA69B53" w:rsidR="00BD1249" w:rsidRDefault="00BD1249">
          <w:pPr>
            <w:pStyle w:val="TOC3"/>
            <w:tabs>
              <w:tab w:val="right" w:leader="dot" w:pos="9350"/>
            </w:tabs>
            <w:rPr>
              <w:rFonts w:asciiTheme="minorHAnsi" w:eastAsiaTheme="minorEastAsia" w:hAnsiTheme="minorHAnsi"/>
              <w:noProof/>
              <w:color w:val="auto"/>
              <w:kern w:val="2"/>
              <w14:ligatures w14:val="standardContextual"/>
            </w:rPr>
          </w:pPr>
          <w:hyperlink w:anchor="_Toc226982636" w:history="1">
            <w:r w:rsidRPr="00B00C9A">
              <w:rPr>
                <w:rStyle w:val="Hyperlink"/>
                <w:noProof/>
              </w:rPr>
              <w:t>Model policy appendix: Technical notes on quantifying impacts</w:t>
            </w:r>
            <w:r>
              <w:rPr>
                <w:noProof/>
                <w:webHidden/>
              </w:rPr>
              <w:tab/>
            </w:r>
            <w:r>
              <w:rPr>
                <w:noProof/>
                <w:webHidden/>
              </w:rPr>
              <w:fldChar w:fldCharType="begin"/>
            </w:r>
            <w:r>
              <w:rPr>
                <w:noProof/>
                <w:webHidden/>
              </w:rPr>
              <w:instrText xml:space="preserve"> PAGEREF _Toc226982636 \h </w:instrText>
            </w:r>
            <w:r>
              <w:rPr>
                <w:noProof/>
                <w:webHidden/>
              </w:rPr>
            </w:r>
            <w:r>
              <w:rPr>
                <w:noProof/>
                <w:webHidden/>
              </w:rPr>
              <w:fldChar w:fldCharType="separate"/>
            </w:r>
            <w:r w:rsidR="00B17BC9">
              <w:rPr>
                <w:noProof/>
                <w:webHidden/>
              </w:rPr>
              <w:t>18</w:t>
            </w:r>
            <w:r>
              <w:rPr>
                <w:noProof/>
                <w:webHidden/>
              </w:rPr>
              <w:fldChar w:fldCharType="end"/>
            </w:r>
          </w:hyperlink>
        </w:p>
        <w:p w14:paraId="1BC83C8D" w14:textId="1E5F73B5" w:rsidR="00BD1249" w:rsidRDefault="00BD1249">
          <w:pPr>
            <w:pStyle w:val="TOC1"/>
            <w:rPr>
              <w:rFonts w:asciiTheme="minorHAnsi" w:eastAsiaTheme="minorEastAsia" w:hAnsiTheme="minorHAnsi"/>
              <w:color w:val="auto"/>
              <w:kern w:val="2"/>
              <w14:ligatures w14:val="standardContextual"/>
            </w:rPr>
          </w:pPr>
          <w:hyperlink w:anchor="_Toc226982637" w:history="1">
            <w:r w:rsidRPr="00B00C9A">
              <w:rPr>
                <w:rStyle w:val="Hyperlink"/>
              </w:rPr>
              <w:t>Flatten the Benefit Cliff from Medicaid to Medicare</w:t>
            </w:r>
            <w:r>
              <w:rPr>
                <w:webHidden/>
              </w:rPr>
              <w:tab/>
            </w:r>
            <w:r>
              <w:rPr>
                <w:webHidden/>
              </w:rPr>
              <w:fldChar w:fldCharType="begin"/>
            </w:r>
            <w:r>
              <w:rPr>
                <w:webHidden/>
              </w:rPr>
              <w:instrText xml:space="preserve"> PAGEREF _Toc226982637 \h </w:instrText>
            </w:r>
            <w:r>
              <w:rPr>
                <w:webHidden/>
              </w:rPr>
            </w:r>
            <w:r>
              <w:rPr>
                <w:webHidden/>
              </w:rPr>
              <w:fldChar w:fldCharType="separate"/>
            </w:r>
            <w:r w:rsidR="00B17BC9">
              <w:rPr>
                <w:webHidden/>
              </w:rPr>
              <w:t>23</w:t>
            </w:r>
            <w:r>
              <w:rPr>
                <w:webHidden/>
              </w:rPr>
              <w:fldChar w:fldCharType="end"/>
            </w:r>
          </w:hyperlink>
        </w:p>
        <w:p w14:paraId="6BC7A44B" w14:textId="4C87A3C9"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8" w:history="1">
            <w:r w:rsidRPr="00B00C9A">
              <w:rPr>
                <w:rStyle w:val="Hyperlink"/>
                <w:noProof/>
              </w:rPr>
              <w:t>Summary</w:t>
            </w:r>
            <w:r>
              <w:rPr>
                <w:noProof/>
                <w:webHidden/>
              </w:rPr>
              <w:tab/>
            </w:r>
            <w:r>
              <w:rPr>
                <w:noProof/>
                <w:webHidden/>
              </w:rPr>
              <w:fldChar w:fldCharType="begin"/>
            </w:r>
            <w:r>
              <w:rPr>
                <w:noProof/>
                <w:webHidden/>
              </w:rPr>
              <w:instrText xml:space="preserve"> PAGEREF _Toc226982638 \h </w:instrText>
            </w:r>
            <w:r>
              <w:rPr>
                <w:noProof/>
                <w:webHidden/>
              </w:rPr>
            </w:r>
            <w:r>
              <w:rPr>
                <w:noProof/>
                <w:webHidden/>
              </w:rPr>
              <w:fldChar w:fldCharType="separate"/>
            </w:r>
            <w:r w:rsidR="00B17BC9">
              <w:rPr>
                <w:noProof/>
                <w:webHidden/>
              </w:rPr>
              <w:t>23</w:t>
            </w:r>
            <w:r>
              <w:rPr>
                <w:noProof/>
                <w:webHidden/>
              </w:rPr>
              <w:fldChar w:fldCharType="end"/>
            </w:r>
          </w:hyperlink>
        </w:p>
        <w:p w14:paraId="64F6BE7D" w14:textId="42E58959"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39" w:history="1">
            <w:r w:rsidRPr="00B00C9A">
              <w:rPr>
                <w:rStyle w:val="Hyperlink"/>
                <w:noProof/>
              </w:rPr>
              <w:t>Model Legislative Text</w:t>
            </w:r>
            <w:r>
              <w:rPr>
                <w:noProof/>
                <w:webHidden/>
              </w:rPr>
              <w:tab/>
            </w:r>
            <w:r>
              <w:rPr>
                <w:noProof/>
                <w:webHidden/>
              </w:rPr>
              <w:fldChar w:fldCharType="begin"/>
            </w:r>
            <w:r>
              <w:rPr>
                <w:noProof/>
                <w:webHidden/>
              </w:rPr>
              <w:instrText xml:space="preserve"> PAGEREF _Toc226982639 \h </w:instrText>
            </w:r>
            <w:r>
              <w:rPr>
                <w:noProof/>
                <w:webHidden/>
              </w:rPr>
            </w:r>
            <w:r>
              <w:rPr>
                <w:noProof/>
                <w:webHidden/>
              </w:rPr>
              <w:fldChar w:fldCharType="separate"/>
            </w:r>
            <w:r w:rsidR="00B17BC9">
              <w:rPr>
                <w:noProof/>
                <w:webHidden/>
              </w:rPr>
              <w:t>26</w:t>
            </w:r>
            <w:r>
              <w:rPr>
                <w:noProof/>
                <w:webHidden/>
              </w:rPr>
              <w:fldChar w:fldCharType="end"/>
            </w:r>
          </w:hyperlink>
        </w:p>
        <w:p w14:paraId="68F6BB51" w14:textId="0DF9CA83"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0" w:history="1">
            <w:r w:rsidRPr="00B00C9A">
              <w:rPr>
                <w:rStyle w:val="Hyperlink"/>
                <w:noProof/>
              </w:rPr>
              <w:t>Analysis</w:t>
            </w:r>
            <w:r>
              <w:rPr>
                <w:noProof/>
                <w:webHidden/>
              </w:rPr>
              <w:tab/>
            </w:r>
            <w:r>
              <w:rPr>
                <w:noProof/>
                <w:webHidden/>
              </w:rPr>
              <w:fldChar w:fldCharType="begin"/>
            </w:r>
            <w:r>
              <w:rPr>
                <w:noProof/>
                <w:webHidden/>
              </w:rPr>
              <w:instrText xml:space="preserve"> PAGEREF _Toc226982640 \h </w:instrText>
            </w:r>
            <w:r>
              <w:rPr>
                <w:noProof/>
                <w:webHidden/>
              </w:rPr>
            </w:r>
            <w:r>
              <w:rPr>
                <w:noProof/>
                <w:webHidden/>
              </w:rPr>
              <w:fldChar w:fldCharType="separate"/>
            </w:r>
            <w:r w:rsidR="00B17BC9">
              <w:rPr>
                <w:noProof/>
                <w:webHidden/>
              </w:rPr>
              <w:t>28</w:t>
            </w:r>
            <w:r>
              <w:rPr>
                <w:noProof/>
                <w:webHidden/>
              </w:rPr>
              <w:fldChar w:fldCharType="end"/>
            </w:r>
          </w:hyperlink>
        </w:p>
        <w:p w14:paraId="5C7D0092" w14:textId="2CF7ADAE"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1" w:history="1">
            <w:r w:rsidRPr="00B00C9A">
              <w:rPr>
                <w:rStyle w:val="Hyperlink"/>
                <w:noProof/>
              </w:rPr>
              <w:t>Questions and Answers</w:t>
            </w:r>
            <w:r>
              <w:rPr>
                <w:noProof/>
                <w:webHidden/>
              </w:rPr>
              <w:tab/>
            </w:r>
            <w:r>
              <w:rPr>
                <w:noProof/>
                <w:webHidden/>
              </w:rPr>
              <w:fldChar w:fldCharType="begin"/>
            </w:r>
            <w:r>
              <w:rPr>
                <w:noProof/>
                <w:webHidden/>
              </w:rPr>
              <w:instrText xml:space="preserve"> PAGEREF _Toc226982641 \h </w:instrText>
            </w:r>
            <w:r>
              <w:rPr>
                <w:noProof/>
                <w:webHidden/>
              </w:rPr>
            </w:r>
            <w:r>
              <w:rPr>
                <w:noProof/>
                <w:webHidden/>
              </w:rPr>
              <w:fldChar w:fldCharType="separate"/>
            </w:r>
            <w:r w:rsidR="00B17BC9">
              <w:rPr>
                <w:noProof/>
                <w:webHidden/>
              </w:rPr>
              <w:t>30</w:t>
            </w:r>
            <w:r>
              <w:rPr>
                <w:noProof/>
                <w:webHidden/>
              </w:rPr>
              <w:fldChar w:fldCharType="end"/>
            </w:r>
          </w:hyperlink>
        </w:p>
        <w:p w14:paraId="428BBB54" w14:textId="4067D21D" w:rsidR="00BD1249" w:rsidRDefault="00BD1249">
          <w:pPr>
            <w:pStyle w:val="TOC3"/>
            <w:tabs>
              <w:tab w:val="right" w:leader="dot" w:pos="9350"/>
            </w:tabs>
            <w:rPr>
              <w:rFonts w:asciiTheme="minorHAnsi" w:eastAsiaTheme="minorEastAsia" w:hAnsiTheme="minorHAnsi"/>
              <w:noProof/>
              <w:color w:val="auto"/>
              <w:kern w:val="2"/>
              <w14:ligatures w14:val="standardContextual"/>
            </w:rPr>
          </w:pPr>
          <w:hyperlink w:anchor="_Toc226982642" w:history="1">
            <w:r w:rsidRPr="00B00C9A">
              <w:rPr>
                <w:rStyle w:val="Hyperlink"/>
                <w:noProof/>
              </w:rPr>
              <w:t>Model policy appendix: Technical notes on quantifying impacts</w:t>
            </w:r>
            <w:r>
              <w:rPr>
                <w:noProof/>
                <w:webHidden/>
              </w:rPr>
              <w:tab/>
            </w:r>
            <w:r>
              <w:rPr>
                <w:noProof/>
                <w:webHidden/>
              </w:rPr>
              <w:fldChar w:fldCharType="begin"/>
            </w:r>
            <w:r>
              <w:rPr>
                <w:noProof/>
                <w:webHidden/>
              </w:rPr>
              <w:instrText xml:space="preserve"> PAGEREF _Toc226982642 \h </w:instrText>
            </w:r>
            <w:r>
              <w:rPr>
                <w:noProof/>
                <w:webHidden/>
              </w:rPr>
            </w:r>
            <w:r>
              <w:rPr>
                <w:noProof/>
                <w:webHidden/>
              </w:rPr>
              <w:fldChar w:fldCharType="separate"/>
            </w:r>
            <w:r w:rsidR="00B17BC9">
              <w:rPr>
                <w:noProof/>
                <w:webHidden/>
              </w:rPr>
              <w:t>32</w:t>
            </w:r>
            <w:r>
              <w:rPr>
                <w:noProof/>
                <w:webHidden/>
              </w:rPr>
              <w:fldChar w:fldCharType="end"/>
            </w:r>
          </w:hyperlink>
        </w:p>
        <w:p w14:paraId="059E5AA3" w14:textId="415E96D7" w:rsidR="00BD1249" w:rsidRDefault="00BD1249">
          <w:pPr>
            <w:pStyle w:val="TOC1"/>
            <w:rPr>
              <w:rFonts w:asciiTheme="minorHAnsi" w:eastAsiaTheme="minorEastAsia" w:hAnsiTheme="minorHAnsi"/>
              <w:color w:val="auto"/>
              <w:kern w:val="2"/>
              <w14:ligatures w14:val="standardContextual"/>
            </w:rPr>
          </w:pPr>
          <w:hyperlink w:anchor="_Toc226982643" w:history="1">
            <w:r w:rsidRPr="00B00C9A">
              <w:rPr>
                <w:rStyle w:val="Hyperlink"/>
              </w:rPr>
              <w:t>End the MSP Family Caregiver Penalty</w:t>
            </w:r>
            <w:r>
              <w:rPr>
                <w:webHidden/>
              </w:rPr>
              <w:tab/>
            </w:r>
            <w:r>
              <w:rPr>
                <w:webHidden/>
              </w:rPr>
              <w:fldChar w:fldCharType="begin"/>
            </w:r>
            <w:r>
              <w:rPr>
                <w:webHidden/>
              </w:rPr>
              <w:instrText xml:space="preserve"> PAGEREF _Toc226982643 \h </w:instrText>
            </w:r>
            <w:r>
              <w:rPr>
                <w:webHidden/>
              </w:rPr>
            </w:r>
            <w:r>
              <w:rPr>
                <w:webHidden/>
              </w:rPr>
              <w:fldChar w:fldCharType="separate"/>
            </w:r>
            <w:r w:rsidR="00B17BC9">
              <w:rPr>
                <w:webHidden/>
              </w:rPr>
              <w:t>36</w:t>
            </w:r>
            <w:r>
              <w:rPr>
                <w:webHidden/>
              </w:rPr>
              <w:fldChar w:fldCharType="end"/>
            </w:r>
          </w:hyperlink>
        </w:p>
        <w:p w14:paraId="2707DFE1" w14:textId="3D943948"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4" w:history="1">
            <w:r w:rsidRPr="00B00C9A">
              <w:rPr>
                <w:rStyle w:val="Hyperlink"/>
                <w:noProof/>
              </w:rPr>
              <w:t>Summary</w:t>
            </w:r>
            <w:r>
              <w:rPr>
                <w:noProof/>
                <w:webHidden/>
              </w:rPr>
              <w:tab/>
            </w:r>
            <w:r>
              <w:rPr>
                <w:noProof/>
                <w:webHidden/>
              </w:rPr>
              <w:fldChar w:fldCharType="begin"/>
            </w:r>
            <w:r>
              <w:rPr>
                <w:noProof/>
                <w:webHidden/>
              </w:rPr>
              <w:instrText xml:space="preserve"> PAGEREF _Toc226982644 \h </w:instrText>
            </w:r>
            <w:r>
              <w:rPr>
                <w:noProof/>
                <w:webHidden/>
              </w:rPr>
            </w:r>
            <w:r>
              <w:rPr>
                <w:noProof/>
                <w:webHidden/>
              </w:rPr>
              <w:fldChar w:fldCharType="separate"/>
            </w:r>
            <w:r w:rsidR="00B17BC9">
              <w:rPr>
                <w:noProof/>
                <w:webHidden/>
              </w:rPr>
              <w:t>36</w:t>
            </w:r>
            <w:r>
              <w:rPr>
                <w:noProof/>
                <w:webHidden/>
              </w:rPr>
              <w:fldChar w:fldCharType="end"/>
            </w:r>
          </w:hyperlink>
        </w:p>
        <w:p w14:paraId="74248B35" w14:textId="30C86BF9"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5" w:history="1">
            <w:r w:rsidRPr="00B00C9A">
              <w:rPr>
                <w:rStyle w:val="Hyperlink"/>
                <w:noProof/>
              </w:rPr>
              <w:t>Model Legislative Text</w:t>
            </w:r>
            <w:r>
              <w:rPr>
                <w:noProof/>
                <w:webHidden/>
              </w:rPr>
              <w:tab/>
            </w:r>
            <w:r>
              <w:rPr>
                <w:noProof/>
                <w:webHidden/>
              </w:rPr>
              <w:fldChar w:fldCharType="begin"/>
            </w:r>
            <w:r>
              <w:rPr>
                <w:noProof/>
                <w:webHidden/>
              </w:rPr>
              <w:instrText xml:space="preserve"> PAGEREF _Toc226982645 \h </w:instrText>
            </w:r>
            <w:r>
              <w:rPr>
                <w:noProof/>
                <w:webHidden/>
              </w:rPr>
            </w:r>
            <w:r>
              <w:rPr>
                <w:noProof/>
                <w:webHidden/>
              </w:rPr>
              <w:fldChar w:fldCharType="separate"/>
            </w:r>
            <w:r w:rsidR="00B17BC9">
              <w:rPr>
                <w:noProof/>
                <w:webHidden/>
              </w:rPr>
              <w:t>38</w:t>
            </w:r>
            <w:r>
              <w:rPr>
                <w:noProof/>
                <w:webHidden/>
              </w:rPr>
              <w:fldChar w:fldCharType="end"/>
            </w:r>
          </w:hyperlink>
        </w:p>
        <w:p w14:paraId="38FD739B" w14:textId="7B8334FE"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6" w:history="1">
            <w:r w:rsidRPr="00B00C9A">
              <w:rPr>
                <w:rStyle w:val="Hyperlink"/>
                <w:noProof/>
              </w:rPr>
              <w:t>Analysis</w:t>
            </w:r>
            <w:r>
              <w:rPr>
                <w:noProof/>
                <w:webHidden/>
              </w:rPr>
              <w:tab/>
            </w:r>
            <w:r>
              <w:rPr>
                <w:noProof/>
                <w:webHidden/>
              </w:rPr>
              <w:fldChar w:fldCharType="begin"/>
            </w:r>
            <w:r>
              <w:rPr>
                <w:noProof/>
                <w:webHidden/>
              </w:rPr>
              <w:instrText xml:space="preserve"> PAGEREF _Toc226982646 \h </w:instrText>
            </w:r>
            <w:r>
              <w:rPr>
                <w:noProof/>
                <w:webHidden/>
              </w:rPr>
            </w:r>
            <w:r>
              <w:rPr>
                <w:noProof/>
                <w:webHidden/>
              </w:rPr>
              <w:fldChar w:fldCharType="separate"/>
            </w:r>
            <w:r w:rsidR="00B17BC9">
              <w:rPr>
                <w:noProof/>
                <w:webHidden/>
              </w:rPr>
              <w:t>39</w:t>
            </w:r>
            <w:r>
              <w:rPr>
                <w:noProof/>
                <w:webHidden/>
              </w:rPr>
              <w:fldChar w:fldCharType="end"/>
            </w:r>
          </w:hyperlink>
        </w:p>
        <w:p w14:paraId="6E48C4D1" w14:textId="4D596E66"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47" w:history="1">
            <w:r w:rsidRPr="00B00C9A">
              <w:rPr>
                <w:rStyle w:val="Hyperlink"/>
                <w:noProof/>
              </w:rPr>
              <w:t>Questions and Answers</w:t>
            </w:r>
            <w:r>
              <w:rPr>
                <w:noProof/>
                <w:webHidden/>
              </w:rPr>
              <w:tab/>
            </w:r>
            <w:r>
              <w:rPr>
                <w:noProof/>
                <w:webHidden/>
              </w:rPr>
              <w:fldChar w:fldCharType="begin"/>
            </w:r>
            <w:r>
              <w:rPr>
                <w:noProof/>
                <w:webHidden/>
              </w:rPr>
              <w:instrText xml:space="preserve"> PAGEREF _Toc226982647 \h </w:instrText>
            </w:r>
            <w:r>
              <w:rPr>
                <w:noProof/>
                <w:webHidden/>
              </w:rPr>
            </w:r>
            <w:r>
              <w:rPr>
                <w:noProof/>
                <w:webHidden/>
              </w:rPr>
              <w:fldChar w:fldCharType="separate"/>
            </w:r>
            <w:r w:rsidR="00B17BC9">
              <w:rPr>
                <w:noProof/>
                <w:webHidden/>
              </w:rPr>
              <w:t>40</w:t>
            </w:r>
            <w:r>
              <w:rPr>
                <w:noProof/>
                <w:webHidden/>
              </w:rPr>
              <w:fldChar w:fldCharType="end"/>
            </w:r>
          </w:hyperlink>
        </w:p>
        <w:p w14:paraId="78B37903" w14:textId="5755699F" w:rsidR="00BD1249" w:rsidRDefault="00BD1249">
          <w:pPr>
            <w:pStyle w:val="TOC3"/>
            <w:tabs>
              <w:tab w:val="right" w:leader="dot" w:pos="9350"/>
            </w:tabs>
            <w:rPr>
              <w:rFonts w:asciiTheme="minorHAnsi" w:eastAsiaTheme="minorEastAsia" w:hAnsiTheme="minorHAnsi"/>
              <w:noProof/>
              <w:color w:val="auto"/>
              <w:kern w:val="2"/>
              <w14:ligatures w14:val="standardContextual"/>
            </w:rPr>
          </w:pPr>
          <w:hyperlink w:anchor="_Toc226982648" w:history="1">
            <w:r w:rsidRPr="00B00C9A">
              <w:rPr>
                <w:rStyle w:val="Hyperlink"/>
                <w:noProof/>
              </w:rPr>
              <w:t>Model policy appendix: Technical notes on quantifying impacts</w:t>
            </w:r>
            <w:r>
              <w:rPr>
                <w:noProof/>
                <w:webHidden/>
              </w:rPr>
              <w:tab/>
            </w:r>
            <w:r>
              <w:rPr>
                <w:noProof/>
                <w:webHidden/>
              </w:rPr>
              <w:fldChar w:fldCharType="begin"/>
            </w:r>
            <w:r>
              <w:rPr>
                <w:noProof/>
                <w:webHidden/>
              </w:rPr>
              <w:instrText xml:space="preserve"> PAGEREF _Toc226982648 \h </w:instrText>
            </w:r>
            <w:r>
              <w:rPr>
                <w:noProof/>
                <w:webHidden/>
              </w:rPr>
            </w:r>
            <w:r>
              <w:rPr>
                <w:noProof/>
                <w:webHidden/>
              </w:rPr>
              <w:fldChar w:fldCharType="separate"/>
            </w:r>
            <w:r w:rsidR="00B17BC9">
              <w:rPr>
                <w:noProof/>
                <w:webHidden/>
              </w:rPr>
              <w:t>43</w:t>
            </w:r>
            <w:r>
              <w:rPr>
                <w:noProof/>
                <w:webHidden/>
              </w:rPr>
              <w:fldChar w:fldCharType="end"/>
            </w:r>
          </w:hyperlink>
        </w:p>
        <w:p w14:paraId="1836684B" w14:textId="63EFC3AF" w:rsidR="00BD1249" w:rsidRDefault="00BD1249">
          <w:pPr>
            <w:pStyle w:val="TOC1"/>
            <w:rPr>
              <w:rFonts w:asciiTheme="minorHAnsi" w:eastAsiaTheme="minorEastAsia" w:hAnsiTheme="minorHAnsi"/>
              <w:color w:val="auto"/>
              <w:kern w:val="2"/>
              <w14:ligatures w14:val="standardContextual"/>
            </w:rPr>
          </w:pPr>
          <w:hyperlink w:anchor="_Toc226982649" w:history="1">
            <w:r w:rsidRPr="00B00C9A">
              <w:rPr>
                <w:rStyle w:val="Hyperlink"/>
              </w:rPr>
              <w:t>Simplify Eligibility by Disregarding the Value of Non-Liquid Assets</w:t>
            </w:r>
            <w:r>
              <w:rPr>
                <w:webHidden/>
              </w:rPr>
              <w:tab/>
            </w:r>
            <w:r>
              <w:rPr>
                <w:webHidden/>
              </w:rPr>
              <w:fldChar w:fldCharType="begin"/>
            </w:r>
            <w:r>
              <w:rPr>
                <w:webHidden/>
              </w:rPr>
              <w:instrText xml:space="preserve"> PAGEREF _Toc226982649 \h </w:instrText>
            </w:r>
            <w:r>
              <w:rPr>
                <w:webHidden/>
              </w:rPr>
            </w:r>
            <w:r>
              <w:rPr>
                <w:webHidden/>
              </w:rPr>
              <w:fldChar w:fldCharType="separate"/>
            </w:r>
            <w:r w:rsidR="00B17BC9">
              <w:rPr>
                <w:webHidden/>
              </w:rPr>
              <w:t>45</w:t>
            </w:r>
            <w:r>
              <w:rPr>
                <w:webHidden/>
              </w:rPr>
              <w:fldChar w:fldCharType="end"/>
            </w:r>
          </w:hyperlink>
        </w:p>
        <w:p w14:paraId="7A4BD6FD" w14:textId="54C62E18"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50" w:history="1">
            <w:r w:rsidRPr="00B00C9A">
              <w:rPr>
                <w:rStyle w:val="Hyperlink"/>
                <w:noProof/>
              </w:rPr>
              <w:t>Summary</w:t>
            </w:r>
            <w:r>
              <w:rPr>
                <w:noProof/>
                <w:webHidden/>
              </w:rPr>
              <w:tab/>
            </w:r>
            <w:r>
              <w:rPr>
                <w:noProof/>
                <w:webHidden/>
              </w:rPr>
              <w:fldChar w:fldCharType="begin"/>
            </w:r>
            <w:r>
              <w:rPr>
                <w:noProof/>
                <w:webHidden/>
              </w:rPr>
              <w:instrText xml:space="preserve"> PAGEREF _Toc226982650 \h </w:instrText>
            </w:r>
            <w:r>
              <w:rPr>
                <w:noProof/>
                <w:webHidden/>
              </w:rPr>
            </w:r>
            <w:r>
              <w:rPr>
                <w:noProof/>
                <w:webHidden/>
              </w:rPr>
              <w:fldChar w:fldCharType="separate"/>
            </w:r>
            <w:r w:rsidR="00B17BC9">
              <w:rPr>
                <w:noProof/>
                <w:webHidden/>
              </w:rPr>
              <w:t>45</w:t>
            </w:r>
            <w:r>
              <w:rPr>
                <w:noProof/>
                <w:webHidden/>
              </w:rPr>
              <w:fldChar w:fldCharType="end"/>
            </w:r>
          </w:hyperlink>
        </w:p>
        <w:p w14:paraId="4A83AEA2" w14:textId="0FC25ECD"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51" w:history="1">
            <w:r w:rsidRPr="00B00C9A">
              <w:rPr>
                <w:rStyle w:val="Hyperlink"/>
                <w:noProof/>
              </w:rPr>
              <w:t>Model Legislative Text</w:t>
            </w:r>
            <w:r>
              <w:rPr>
                <w:noProof/>
                <w:webHidden/>
              </w:rPr>
              <w:tab/>
            </w:r>
            <w:r>
              <w:rPr>
                <w:noProof/>
                <w:webHidden/>
              </w:rPr>
              <w:fldChar w:fldCharType="begin"/>
            </w:r>
            <w:r>
              <w:rPr>
                <w:noProof/>
                <w:webHidden/>
              </w:rPr>
              <w:instrText xml:space="preserve"> PAGEREF _Toc226982651 \h </w:instrText>
            </w:r>
            <w:r>
              <w:rPr>
                <w:noProof/>
                <w:webHidden/>
              </w:rPr>
            </w:r>
            <w:r>
              <w:rPr>
                <w:noProof/>
                <w:webHidden/>
              </w:rPr>
              <w:fldChar w:fldCharType="separate"/>
            </w:r>
            <w:r w:rsidR="00B17BC9">
              <w:rPr>
                <w:noProof/>
                <w:webHidden/>
              </w:rPr>
              <w:t>47</w:t>
            </w:r>
            <w:r>
              <w:rPr>
                <w:noProof/>
                <w:webHidden/>
              </w:rPr>
              <w:fldChar w:fldCharType="end"/>
            </w:r>
          </w:hyperlink>
        </w:p>
        <w:p w14:paraId="38CF471B" w14:textId="6FB5FC0E"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52" w:history="1">
            <w:r w:rsidRPr="00B00C9A">
              <w:rPr>
                <w:rStyle w:val="Hyperlink"/>
                <w:noProof/>
              </w:rPr>
              <w:t>Analysis</w:t>
            </w:r>
            <w:r>
              <w:rPr>
                <w:noProof/>
                <w:webHidden/>
              </w:rPr>
              <w:tab/>
            </w:r>
            <w:r>
              <w:rPr>
                <w:noProof/>
                <w:webHidden/>
              </w:rPr>
              <w:fldChar w:fldCharType="begin"/>
            </w:r>
            <w:r>
              <w:rPr>
                <w:noProof/>
                <w:webHidden/>
              </w:rPr>
              <w:instrText xml:space="preserve"> PAGEREF _Toc226982652 \h </w:instrText>
            </w:r>
            <w:r>
              <w:rPr>
                <w:noProof/>
                <w:webHidden/>
              </w:rPr>
            </w:r>
            <w:r>
              <w:rPr>
                <w:noProof/>
                <w:webHidden/>
              </w:rPr>
              <w:fldChar w:fldCharType="separate"/>
            </w:r>
            <w:r w:rsidR="00B17BC9">
              <w:rPr>
                <w:noProof/>
                <w:webHidden/>
              </w:rPr>
              <w:t>48</w:t>
            </w:r>
            <w:r>
              <w:rPr>
                <w:noProof/>
                <w:webHidden/>
              </w:rPr>
              <w:fldChar w:fldCharType="end"/>
            </w:r>
          </w:hyperlink>
        </w:p>
        <w:p w14:paraId="02E7B0E0" w14:textId="49202ACE" w:rsidR="00BD1249" w:rsidRDefault="00BD1249">
          <w:pPr>
            <w:pStyle w:val="TOC2"/>
            <w:tabs>
              <w:tab w:val="right" w:leader="dot" w:pos="9350"/>
            </w:tabs>
            <w:rPr>
              <w:rFonts w:asciiTheme="minorHAnsi" w:eastAsiaTheme="minorEastAsia" w:hAnsiTheme="minorHAnsi"/>
              <w:noProof/>
              <w:color w:val="auto"/>
              <w:kern w:val="2"/>
              <w14:ligatures w14:val="standardContextual"/>
            </w:rPr>
          </w:pPr>
          <w:hyperlink w:anchor="_Toc226982653" w:history="1">
            <w:r w:rsidRPr="00B00C9A">
              <w:rPr>
                <w:rStyle w:val="Hyperlink"/>
                <w:noProof/>
              </w:rPr>
              <w:t>Questions and Answers</w:t>
            </w:r>
            <w:r>
              <w:rPr>
                <w:noProof/>
                <w:webHidden/>
              </w:rPr>
              <w:tab/>
            </w:r>
            <w:r>
              <w:rPr>
                <w:noProof/>
                <w:webHidden/>
              </w:rPr>
              <w:fldChar w:fldCharType="begin"/>
            </w:r>
            <w:r>
              <w:rPr>
                <w:noProof/>
                <w:webHidden/>
              </w:rPr>
              <w:instrText xml:space="preserve"> PAGEREF _Toc226982653 \h </w:instrText>
            </w:r>
            <w:r>
              <w:rPr>
                <w:noProof/>
                <w:webHidden/>
              </w:rPr>
            </w:r>
            <w:r>
              <w:rPr>
                <w:noProof/>
                <w:webHidden/>
              </w:rPr>
              <w:fldChar w:fldCharType="separate"/>
            </w:r>
            <w:r w:rsidR="00B17BC9">
              <w:rPr>
                <w:noProof/>
                <w:webHidden/>
              </w:rPr>
              <w:t>49</w:t>
            </w:r>
            <w:r>
              <w:rPr>
                <w:noProof/>
                <w:webHidden/>
              </w:rPr>
              <w:fldChar w:fldCharType="end"/>
            </w:r>
          </w:hyperlink>
        </w:p>
        <w:p w14:paraId="53A809DA" w14:textId="0D794198" w:rsidR="00B73977" w:rsidRDefault="00FB59D8">
          <w:pPr>
            <w:rPr>
              <w:bCs/>
              <w:noProof/>
            </w:rPr>
          </w:pPr>
          <w:r>
            <w:rPr>
              <w:noProof/>
            </w:rPr>
            <w:fldChar w:fldCharType="end"/>
          </w:r>
        </w:p>
      </w:sdtContent>
    </w:sdt>
    <w:p w14:paraId="708EC589" w14:textId="77777777" w:rsidR="00B73977" w:rsidRDefault="00B73977">
      <w:pPr>
        <w:spacing w:after="160"/>
        <w:rPr>
          <w:rFonts w:eastAsiaTheme="majorEastAsia"/>
          <w:b/>
          <w:color w:val="386641" w:themeColor="accent1"/>
          <w:sz w:val="40"/>
          <w:szCs w:val="40"/>
        </w:rPr>
      </w:pPr>
      <w:r>
        <w:br w:type="page"/>
      </w:r>
    </w:p>
    <w:p w14:paraId="303D14B4" w14:textId="77777777" w:rsidR="00D14620" w:rsidRDefault="00D14620" w:rsidP="000E1BCD">
      <w:pPr>
        <w:pStyle w:val="Heading1"/>
        <w:sectPr w:rsidR="00D14620" w:rsidSect="00BC71B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432" w:gutter="0"/>
          <w:cols w:space="720"/>
          <w:docGrid w:linePitch="360"/>
        </w:sectPr>
      </w:pPr>
    </w:p>
    <w:p w14:paraId="3B4B4DC1" w14:textId="3749C17E" w:rsidR="00AE7862" w:rsidRDefault="00AE7862" w:rsidP="008F75CB">
      <w:pPr>
        <w:pStyle w:val="Heading1"/>
      </w:pPr>
      <w:bookmarkStart w:id="1" w:name="_Toc226982629"/>
      <w:r w:rsidRPr="00AE7862">
        <w:t xml:space="preserve">Simplifying Access to the </w:t>
      </w:r>
      <w:r w:rsidR="00AB6173">
        <w:br/>
      </w:r>
      <w:r w:rsidRPr="00AE7862">
        <w:t>Medicare Savings Programs</w:t>
      </w:r>
      <w:bookmarkEnd w:id="1"/>
    </w:p>
    <w:p w14:paraId="0941DA1B" w14:textId="77777777" w:rsidR="00AE7862" w:rsidRDefault="00AE7862" w:rsidP="00AE7862">
      <w:r w:rsidRPr="3946BC4A">
        <w:t>Medicare</w:t>
      </w:r>
      <w:r>
        <w:t xml:space="preserve"> </w:t>
      </w:r>
      <w:r w:rsidRPr="3946BC4A">
        <w:t>provides vital health coverage for</w:t>
      </w:r>
      <w:r>
        <w:t xml:space="preserve"> </w:t>
      </w:r>
      <w:r w:rsidRPr="3946BC4A">
        <w:t>over 69 million older adults and people with disabilities</w:t>
      </w:r>
      <w:r>
        <w:t xml:space="preserve">. Medicare is a federal program, but states play a key role in making Medicare affordable for people with low income. This is essential because Medicare </w:t>
      </w:r>
      <w:r w:rsidRPr="3946BC4A">
        <w:t>imposes significant out-of-pocket costs in the form of premiums and cost sharing.</w:t>
      </w:r>
      <w:r w:rsidRPr="000240A6">
        <w:rPr>
          <w:rStyle w:val="EndnoteReference"/>
          <w:rFonts w:ascii="Calibri" w:hAnsi="Calibri" w:cs="Calibri"/>
          <w:sz w:val="22"/>
          <w:szCs w:val="22"/>
        </w:rPr>
        <w:endnoteReference w:id="2"/>
      </w:r>
      <w:r w:rsidRPr="3946BC4A">
        <w:t xml:space="preserve"> The Medicare Part B premium alone ($202.90/month in 2026) takes up more than 15% of the monthly income of an individual living at or below the federal poverty level.</w:t>
      </w:r>
      <w:r w:rsidRPr="00F06E43">
        <w:rPr>
          <w:vertAlign w:val="superscript"/>
        </w:rPr>
        <w:endnoteReference w:id="3"/>
      </w:r>
      <w:r>
        <w:t xml:space="preserve"> </w:t>
      </w:r>
    </w:p>
    <w:p w14:paraId="6DEEB408" w14:textId="564C107F" w:rsidR="00D86A9E" w:rsidRDefault="004E0907" w:rsidP="003435B3">
      <w:pPr>
        <w:spacing w:before="120" w:after="360"/>
        <w:jc w:val="center"/>
      </w:pPr>
      <w:r>
        <w:rPr>
          <w:noProof/>
        </w:rPr>
        <w:drawing>
          <wp:inline distT="0" distB="0" distL="0" distR="0" wp14:anchorId="3F21B37A" wp14:editId="4A7AECC0">
            <wp:extent cx="5994400" cy="2254250"/>
            <wp:effectExtent l="0" t="0" r="6350" b="0"/>
            <wp:docPr id="1426691400" name="Graphic 19" descr="The high cost of Medicare for older adults and people with disabilities. 28% or more of income goes toward Part B premiums and A/B deductibles for a person at or below 100% FPL in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91400" name="Graphic 19" descr="The high cost of Medicare for older adults and people with disabilities. 28% or more of income goes toward Part B premiums and A/B deductibles for a person at or below 100% FPL in 2026&#10;"/>
                    <pic:cNvPicPr/>
                  </pic:nvPicPr>
                  <pic:blipFill rotWithShape="1">
                    <a:blip r:embed="rId19">
                      <a:extLst>
                        <a:ext uri="{96DAC541-7B7A-43D3-8B79-37D633B846F1}">
                          <asvg:svgBlip xmlns:asvg="http://schemas.microsoft.com/office/drawing/2016/SVG/main" r:embed="rId20"/>
                        </a:ext>
                      </a:extLst>
                    </a:blip>
                    <a:srcRect l="9098" t="26228" r="10630" b="20106"/>
                    <a:stretch>
                      <a:fillRect/>
                    </a:stretch>
                  </pic:blipFill>
                  <pic:spPr bwMode="auto">
                    <a:xfrm>
                      <a:off x="0" y="0"/>
                      <a:ext cx="5994400" cy="2254250"/>
                    </a:xfrm>
                    <a:prstGeom prst="rect">
                      <a:avLst/>
                    </a:prstGeom>
                    <a:ln>
                      <a:noFill/>
                    </a:ln>
                    <a:extLst>
                      <a:ext uri="{53640926-AAD7-44D8-BBD7-CCE9431645EC}">
                        <a14:shadowObscured xmlns:a14="http://schemas.microsoft.com/office/drawing/2010/main"/>
                      </a:ext>
                    </a:extLst>
                  </pic:spPr>
                </pic:pic>
              </a:graphicData>
            </a:graphic>
          </wp:inline>
        </w:drawing>
      </w:r>
    </w:p>
    <w:p w14:paraId="11D96DE3" w14:textId="1C576D41" w:rsidR="008F75CB" w:rsidRDefault="00522FB6" w:rsidP="008F75CB">
      <w:r>
        <w:rPr>
          <w:noProof/>
        </w:rPr>
        <mc:AlternateContent>
          <mc:Choice Requires="wps">
            <w:drawing>
              <wp:anchor distT="0" distB="0" distL="114300" distR="114300" simplePos="0" relativeHeight="251658252" behindDoc="1" locked="0" layoutInCell="1" allowOverlap="1" wp14:anchorId="2AB87D10" wp14:editId="40158CCF">
                <wp:simplePos x="0" y="0"/>
                <wp:positionH relativeFrom="margin">
                  <wp:posOffset>21601</wp:posOffset>
                </wp:positionH>
                <wp:positionV relativeFrom="paragraph">
                  <wp:posOffset>460860</wp:posOffset>
                </wp:positionV>
                <wp:extent cx="5918400" cy="1066800"/>
                <wp:effectExtent l="0" t="0" r="0" b="0"/>
                <wp:wrapNone/>
                <wp:docPr id="1784255768" name="Rectangle: Rounded Corners 12"/>
                <wp:cNvGraphicFramePr/>
                <a:graphic xmlns:a="http://schemas.openxmlformats.org/drawingml/2006/main">
                  <a:graphicData uri="http://schemas.microsoft.com/office/word/2010/wordprocessingShape">
                    <wps:wsp>
                      <wps:cNvSpPr/>
                      <wps:spPr>
                        <a:xfrm>
                          <a:off x="0" y="0"/>
                          <a:ext cx="5918400" cy="10668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06B2548" id="Rectangle: Rounded Corners 12" o:spid="_x0000_s1026" style="position:absolute;margin-left:1.7pt;margin-top:36.3pt;width:466pt;height:84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" fillcolor="#386641 [3204]" stroked="f" strokeweight="1pt">
                <v:stroke joinstyle="miter"/>
                <w10:wrap anchorx="margin"/>
              </v:roundrect>
            </w:pict>
          </mc:Fallback>
        </mc:AlternateContent>
      </w:r>
      <w:r w:rsidR="008F75CB" w:rsidRPr="3946BC4A">
        <w:t xml:space="preserve">People on Medicare make difficult decisions to get by when health care is unaffordable. </w:t>
      </w:r>
      <w:r w:rsidR="008F75CB">
        <w:t>According to one Medicare beneficiary:</w:t>
      </w:r>
    </w:p>
    <w:p w14:paraId="4311C7C0" w14:textId="329CAA4F" w:rsidR="008F75CB" w:rsidRPr="00522FB6" w:rsidRDefault="008F75CB" w:rsidP="00522FB6">
      <w:pPr>
        <w:pStyle w:val="PullQuote"/>
        <w:spacing w:before="120" w:after="480"/>
        <w:rPr>
          <w:color w:val="FFFFFF" w:themeColor="background1"/>
        </w:rPr>
      </w:pPr>
      <w:r w:rsidRPr="00522FB6">
        <w:rPr>
          <w:color w:val="FFFFFF" w:themeColor="background1"/>
        </w:rPr>
        <w:t xml:space="preserve">“I do have to give up [things]. I don’t use my air conditioner unless it is a horrible day. I don’t use water. I conserve in </w:t>
      </w:r>
      <w:r w:rsidR="00522FB6">
        <w:rPr>
          <w:color w:val="FFFFFF" w:themeColor="background1"/>
        </w:rPr>
        <w:br/>
      </w:r>
      <w:proofErr w:type="gramStart"/>
      <w:r w:rsidRPr="00522FB6">
        <w:rPr>
          <w:color w:val="FFFFFF" w:themeColor="background1"/>
        </w:rPr>
        <w:t>all of</w:t>
      </w:r>
      <w:proofErr w:type="gramEnd"/>
      <w:r w:rsidRPr="00522FB6">
        <w:rPr>
          <w:color w:val="FFFFFF" w:themeColor="background1"/>
        </w:rPr>
        <w:t xml:space="preserve"> my utilities…I’ve had to restrict my buying. Everything. </w:t>
      </w:r>
      <w:r w:rsidR="00522FB6">
        <w:rPr>
          <w:color w:val="FFFFFF" w:themeColor="background1"/>
        </w:rPr>
        <w:br/>
      </w:r>
      <w:r w:rsidRPr="00522FB6">
        <w:rPr>
          <w:color w:val="FFFFFF" w:themeColor="background1"/>
        </w:rPr>
        <w:t>Just so I can [afford my Medicare premiums].”</w:t>
      </w:r>
      <w:r w:rsidRPr="00522FB6">
        <w:rPr>
          <w:rStyle w:val="EndnoteReference"/>
          <w:rFonts w:ascii="Calibri" w:hAnsi="Calibri" w:cs="Calibri"/>
          <w:color w:val="FFFFFF" w:themeColor="background1"/>
          <w:sz w:val="22"/>
          <w:szCs w:val="22"/>
        </w:rPr>
        <w:endnoteReference w:id="4"/>
      </w:r>
    </w:p>
    <w:p w14:paraId="1C28FB73" w14:textId="097CF996" w:rsidR="008F75CB" w:rsidRDefault="008F75CB" w:rsidP="008F75CB">
      <w:r>
        <w:t>Older adults and people with disabilities of all ages delay or forego medical care due to cost concerns, but cost and access barriers are particularly impactful for Medicare beneficiaries with disabilities under the age of 65.</w:t>
      </w:r>
      <w:r>
        <w:rPr>
          <w:rStyle w:val="EndnoteReference"/>
          <w:rFonts w:ascii="Calibri" w:hAnsi="Calibri" w:cs="Calibri"/>
          <w:sz w:val="22"/>
          <w:szCs w:val="22"/>
        </w:rPr>
        <w:endnoteReference w:id="5"/>
      </w:r>
    </w:p>
    <w:p w14:paraId="6B43376D" w14:textId="77777777" w:rsidR="008F75CB" w:rsidRPr="000240A6" w:rsidRDefault="008F75CB" w:rsidP="008F75CB">
      <w:r w:rsidRPr="000240A6">
        <w:t xml:space="preserve">Created by Congress more than four decades ago, the Medicare Savings Programs (MSPs) are types of Medicaid coverage that help more than ten million low-income older adults and people with disabilities pay their out-of-pocket costs for Medicare Parts A and B. MSP beneficiaries also automatically receive Part D Extra Help, which significantly lowers their Medicare prescription drug costs. Individuals apply </w:t>
      </w:r>
      <w:r w:rsidRPr="47FA6D80">
        <w:t xml:space="preserve">for MSP coverage </w:t>
      </w:r>
      <w:r w:rsidRPr="000240A6">
        <w:t>through their Medicaid or social services offices.</w:t>
      </w:r>
      <w:r>
        <w:rPr>
          <w:rStyle w:val="EndnoteReference"/>
          <w:rFonts w:ascii="Calibri" w:hAnsi="Calibri" w:cs="Calibri"/>
          <w:sz w:val="22"/>
          <w:szCs w:val="22"/>
        </w:rPr>
        <w:endnoteReference w:id="6"/>
      </w:r>
    </w:p>
    <w:p w14:paraId="0CB249D6" w14:textId="77777777" w:rsidR="008F75CB" w:rsidRDefault="008F75CB" w:rsidP="008F75CB">
      <w:r w:rsidRPr="1EC1B1D3">
        <w:t xml:space="preserve">People in the </w:t>
      </w:r>
      <w:r w:rsidRPr="27764C8D">
        <w:t xml:space="preserve">MSPs </w:t>
      </w:r>
      <w:r w:rsidRPr="0F032779">
        <w:t xml:space="preserve">fit into one of </w:t>
      </w:r>
      <w:r w:rsidRPr="46F37B46">
        <w:t xml:space="preserve">four eligibility </w:t>
      </w:r>
      <w:r w:rsidRPr="0F032779">
        <w:t>categories</w:t>
      </w:r>
      <w:r w:rsidRPr="417B38C2">
        <w:t>: Qualified Medicare Beneficiary, Specified Low-Income Beneficiary, Qualifying Individual</w:t>
      </w:r>
      <w:r w:rsidRPr="46F37B46">
        <w:t>, and Qualified Disabled Working Individual</w:t>
      </w:r>
      <w:r w:rsidRPr="417B38C2">
        <w:t xml:space="preserve">. Coverage, financial eligibility, and federal financing differ among them, as shown in the table below. Most states use the federal income and </w:t>
      </w:r>
      <w:r>
        <w:t>asset</w:t>
      </w:r>
      <w:r w:rsidRPr="417B38C2">
        <w:t xml:space="preserve"> limits for the MSPs, but some states have more generous eligibility standards,</w:t>
      </w:r>
      <w:r>
        <w:t xml:space="preserve"> as allowed by federal law</w:t>
      </w:r>
      <w:r w:rsidRPr="417B38C2">
        <w:t>.</w:t>
      </w:r>
      <w:r w:rsidRPr="000240A6">
        <w:rPr>
          <w:rStyle w:val="EndnoteReference"/>
          <w:rFonts w:ascii="Calibri" w:hAnsi="Calibri" w:cs="Calibri"/>
          <w:sz w:val="22"/>
          <w:szCs w:val="22"/>
        </w:rPr>
        <w:endnoteReference w:id="7"/>
      </w:r>
    </w:p>
    <w:p w14:paraId="2EC74653" w14:textId="77777777" w:rsidR="008F75CB" w:rsidRDefault="008F75CB" w:rsidP="008F75CB">
      <w:r w:rsidRPr="001C5266">
        <w:t>In 2026, MSP</w:t>
      </w:r>
      <w:r>
        <w:t xml:space="preserve"> enrollment can save beneficiaries over</w:t>
      </w:r>
      <w:r w:rsidRPr="001C5266">
        <w:t xml:space="preserve"> </w:t>
      </w:r>
      <w:r>
        <w:t>$8,0</w:t>
      </w:r>
      <w:r w:rsidRPr="001C5266">
        <w:t>00</w:t>
      </w:r>
      <w:r>
        <w:t xml:space="preserve"> on Medicare-related costs</w:t>
      </w:r>
      <w:r w:rsidRPr="000240A6">
        <w:rPr>
          <w:rStyle w:val="EndnoteReference"/>
          <w:rFonts w:ascii="Calibri" w:hAnsi="Calibri" w:cs="Calibri"/>
          <w:sz w:val="22"/>
          <w:szCs w:val="22"/>
        </w:rPr>
        <w:endnoteReference w:id="8"/>
      </w:r>
      <w:r w:rsidRPr="001C5266">
        <w:t>—money that could go toward</w:t>
      </w:r>
      <w:r>
        <w:t>s</w:t>
      </w:r>
      <w:r w:rsidRPr="001C5266">
        <w:t xml:space="preserve"> essentials like food, housing, </w:t>
      </w:r>
      <w:r>
        <w:t>and</w:t>
      </w:r>
      <w:r w:rsidRPr="37CF4D25">
        <w:t xml:space="preserve"> transportation. N</w:t>
      </w:r>
      <w:r>
        <w:t xml:space="preserve">ew </w:t>
      </w:r>
      <w:r w:rsidRPr="2EC0A5E5">
        <w:t>research connects MSP coverage to better access</w:t>
      </w:r>
      <w:r>
        <w:t xml:space="preserve"> to care</w:t>
      </w:r>
      <w:r>
        <w:rPr>
          <w:rStyle w:val="EndnoteReference"/>
          <w:rFonts w:ascii="Calibri" w:hAnsi="Calibri" w:cs="Calibri"/>
          <w:sz w:val="22"/>
          <w:szCs w:val="22"/>
        </w:rPr>
        <w:endnoteReference w:id="9"/>
      </w:r>
      <w:r w:rsidRPr="2EC0A5E5">
        <w:t xml:space="preserve"> and lower mortality.</w:t>
      </w:r>
      <w:r w:rsidRPr="000240A6">
        <w:rPr>
          <w:rStyle w:val="EndnoteReference"/>
          <w:rFonts w:ascii="Calibri" w:hAnsi="Calibri" w:cs="Calibri"/>
          <w:sz w:val="22"/>
          <w:szCs w:val="22"/>
        </w:rPr>
        <w:endnoteReference w:id="10"/>
      </w:r>
      <w:r w:rsidRPr="2EC0A5E5">
        <w:t xml:space="preserve"> Despite these benefits, millions of eligible individuals are not yet enrolled.</w:t>
      </w:r>
      <w:r w:rsidRPr="2EC0A5E5">
        <w:rPr>
          <w:rStyle w:val="EndnoteReference"/>
          <w:rFonts w:ascii="Calibri" w:hAnsi="Calibri" w:cs="Calibri"/>
          <w:sz w:val="22"/>
          <w:szCs w:val="22"/>
        </w:rPr>
        <w:endnoteReference w:id="11"/>
      </w:r>
      <w:r w:rsidRPr="2EC0A5E5">
        <w:t xml:space="preserve"> Complex </w:t>
      </w:r>
      <w:r>
        <w:t xml:space="preserve">enrollment processes and restrictive eligibility rules </w:t>
      </w:r>
      <w:r w:rsidRPr="2EC0A5E5">
        <w:t>can keep eligible individuals from participating</w:t>
      </w:r>
      <w:r w:rsidRPr="2D5278D5">
        <w:t xml:space="preserve"> and retaining coverage from year</w:t>
      </w:r>
      <w:r w:rsidRPr="37CF4D25">
        <w:t xml:space="preserve"> to year.</w:t>
      </w:r>
      <w:r w:rsidRPr="000240A6">
        <w:rPr>
          <w:rStyle w:val="EndnoteReference"/>
          <w:rFonts w:ascii="Calibri" w:hAnsi="Calibri" w:cs="Calibri"/>
          <w:sz w:val="22"/>
          <w:szCs w:val="22"/>
        </w:rPr>
        <w:endnoteReference w:id="12"/>
      </w:r>
    </w:p>
    <w:p w14:paraId="13535CD7" w14:textId="4B2D9469" w:rsidR="008F75CB" w:rsidRPr="004B7866" w:rsidRDefault="008F75CB" w:rsidP="004B7866">
      <w:pPr>
        <w:pStyle w:val="BlueEmphasis"/>
        <w:rPr>
          <w:rStyle w:val="Emphasis"/>
          <w:b/>
          <w:bCs w:val="0"/>
        </w:rPr>
      </w:pPr>
      <w:r w:rsidRPr="004B7866">
        <w:rPr>
          <w:rStyle w:val="Emphasis"/>
          <w:b/>
          <w:bCs w:val="0"/>
        </w:rPr>
        <w:t>Can we do better?</w:t>
      </w:r>
    </w:p>
    <w:p w14:paraId="0C14CA95" w14:textId="7ED6D918" w:rsidR="00D86A9E" w:rsidRDefault="00D86A9E" w:rsidP="00D86A9E">
      <w:r>
        <w:t xml:space="preserve">While states face multiple demands and financial challenges, simplifying access to the </w:t>
      </w:r>
      <w:r w:rsidRPr="37CF4D25">
        <w:t>MSP</w:t>
      </w:r>
      <w:r>
        <w:t xml:space="preserve">s can reduce administrative costs while improving health care </w:t>
      </w:r>
      <w:r w:rsidRPr="37CF4D25">
        <w:t xml:space="preserve">for Medicare beneficiaries. </w:t>
      </w:r>
    </w:p>
    <w:p w14:paraId="14AC7718" w14:textId="77777777" w:rsidR="00D86A9E" w:rsidRPr="008F3FC6" w:rsidRDefault="00D86A9E" w:rsidP="008F3FC6">
      <w:pPr>
        <w:rPr>
          <w:b/>
          <w:bCs/>
        </w:rPr>
      </w:pPr>
      <w:r w:rsidRPr="008F3FC6">
        <w:t>We describe four model policies for states to simplify enrollment into the MSPs.</w:t>
      </w:r>
      <w:r w:rsidRPr="008F3FC6">
        <w:rPr>
          <w:rStyle w:val="EndnoteReference"/>
          <w:rFonts w:ascii="Calibri" w:hAnsi="Calibri" w:cs="Calibri"/>
          <w:sz w:val="22"/>
          <w:szCs w:val="22"/>
        </w:rPr>
        <w:endnoteReference w:id="13"/>
      </w:r>
      <w:r w:rsidRPr="008F3FC6">
        <w:t xml:space="preserve"> States can implement them individually or in combination. Follow the links for more information on each, including model legislation and analysis.</w:t>
      </w:r>
    </w:p>
    <w:p w14:paraId="771CBC92" w14:textId="67576569" w:rsidR="00D86A9E" w:rsidRPr="000B2A14" w:rsidRDefault="00E74038" w:rsidP="00D86A9E">
      <w:pPr>
        <w:pStyle w:val="Heading2"/>
      </w:pPr>
      <w:bookmarkStart w:id="2" w:name="_Toc226982630"/>
      <w:r>
        <w:rPr>
          <w:noProof/>
          <w:color w:val="04577C" w:themeColor="accent5"/>
          <w:sz w:val="24"/>
          <w:szCs w:val="28"/>
        </w:rPr>
        <w:drawing>
          <wp:anchor distT="0" distB="0" distL="114300" distR="114300" simplePos="0" relativeHeight="251658253" behindDoc="0" locked="0" layoutInCell="1" allowOverlap="1" wp14:anchorId="7FB79BCA" wp14:editId="7E9DFABB">
            <wp:simplePos x="0" y="0"/>
            <wp:positionH relativeFrom="column">
              <wp:posOffset>261620</wp:posOffset>
            </wp:positionH>
            <wp:positionV relativeFrom="paragraph">
              <wp:posOffset>2382189</wp:posOffset>
            </wp:positionV>
            <wp:extent cx="561975" cy="449580"/>
            <wp:effectExtent l="0" t="0" r="9525" b="7620"/>
            <wp:wrapNone/>
            <wp:docPr id="670403196" name="Graphic 29" descr="Icon of a tracto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03196" name="Graphic 29" descr="Icon of a trac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561975" cy="449580"/>
                    </a:xfrm>
                    <a:prstGeom prst="rect">
                      <a:avLst/>
                    </a:prstGeom>
                  </pic:spPr>
                </pic:pic>
              </a:graphicData>
            </a:graphic>
            <wp14:sizeRelH relativeFrom="page">
              <wp14:pctWidth>0</wp14:pctWidth>
            </wp14:sizeRelH>
            <wp14:sizeRelV relativeFrom="page">
              <wp14:pctHeight>0</wp14:pctHeight>
            </wp14:sizeRelV>
          </wp:anchor>
        </w:drawing>
      </w:r>
      <w:r>
        <w:rPr>
          <w:b w:val="0"/>
          <w:bCs/>
          <w:noProof/>
          <w:color w:val="04577C" w:themeColor="accent5"/>
          <w:sz w:val="24"/>
          <w:szCs w:val="28"/>
          <w:u w:val="single"/>
        </w:rPr>
        <w:drawing>
          <wp:anchor distT="0" distB="0" distL="114300" distR="114300" simplePos="0" relativeHeight="251658254" behindDoc="0" locked="0" layoutInCell="1" allowOverlap="1" wp14:anchorId="58F59527" wp14:editId="057CCB72">
            <wp:simplePos x="0" y="0"/>
            <wp:positionH relativeFrom="column">
              <wp:posOffset>233680</wp:posOffset>
            </wp:positionH>
            <wp:positionV relativeFrom="paragraph">
              <wp:posOffset>1771981</wp:posOffset>
            </wp:positionV>
            <wp:extent cx="641985" cy="487045"/>
            <wp:effectExtent l="0" t="0" r="5715" b="8255"/>
            <wp:wrapNone/>
            <wp:docPr id="1320685823" name="Graphic 28" descr="Icon of group of people across generati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85823" name="Graphic 28" descr="Icon of group of people across generations">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641985" cy="487045"/>
                    </a:xfrm>
                    <a:prstGeom prst="rect">
                      <a:avLst/>
                    </a:prstGeom>
                  </pic:spPr>
                </pic:pic>
              </a:graphicData>
            </a:graphic>
            <wp14:sizeRelH relativeFrom="page">
              <wp14:pctWidth>0</wp14:pctWidth>
            </wp14:sizeRelH>
            <wp14:sizeRelV relativeFrom="page">
              <wp14:pctHeight>0</wp14:pctHeight>
            </wp14:sizeRelV>
          </wp:anchor>
        </w:drawing>
      </w:r>
      <w:r>
        <w:rPr>
          <w:b w:val="0"/>
          <w:bCs/>
          <w:noProof/>
          <w:color w:val="04577C" w:themeColor="accent5"/>
          <w:sz w:val="24"/>
          <w:szCs w:val="28"/>
          <w:u w:val="single"/>
        </w:rPr>
        <w:drawing>
          <wp:anchor distT="0" distB="0" distL="114300" distR="114300" simplePos="0" relativeHeight="251658255" behindDoc="0" locked="0" layoutInCell="1" allowOverlap="1" wp14:anchorId="6D993900" wp14:editId="1EDA6BA1">
            <wp:simplePos x="0" y="0"/>
            <wp:positionH relativeFrom="column">
              <wp:posOffset>412750</wp:posOffset>
            </wp:positionH>
            <wp:positionV relativeFrom="paragraph">
              <wp:posOffset>1074724</wp:posOffset>
            </wp:positionV>
            <wp:extent cx="408940" cy="591185"/>
            <wp:effectExtent l="0" t="0" r="0" b="0"/>
            <wp:wrapNone/>
            <wp:docPr id="605053964" name="Graphic 27" descr="Icon of person about to fall off a cliff with a warning sig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53964" name="Graphic 27" descr="Icon of person about to fall off a cliff with a warning sign">
                      <a:hlinkClick r:id="rId27"/>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408940" cy="591185"/>
                    </a:xfrm>
                    <a:prstGeom prst="rect">
                      <a:avLst/>
                    </a:prstGeom>
                  </pic:spPr>
                </pic:pic>
              </a:graphicData>
            </a:graphic>
            <wp14:sizeRelH relativeFrom="page">
              <wp14:pctWidth>0</wp14:pctWidth>
            </wp14:sizeRelH>
            <wp14:sizeRelV relativeFrom="page">
              <wp14:pctHeight>0</wp14:pctHeight>
            </wp14:sizeRelV>
          </wp:anchor>
        </w:drawing>
      </w:r>
      <w:r w:rsidR="00D718A2">
        <w:rPr>
          <w:b w:val="0"/>
          <w:bCs/>
          <w:noProof/>
          <w:color w:val="04577C" w:themeColor="accent5"/>
          <w:sz w:val="24"/>
          <w:szCs w:val="28"/>
          <w:u w:val="single"/>
        </w:rPr>
        <w:drawing>
          <wp:anchor distT="0" distB="0" distL="114300" distR="114300" simplePos="0" relativeHeight="251658256" behindDoc="0" locked="0" layoutInCell="1" allowOverlap="1" wp14:anchorId="471177A3" wp14:editId="51475E14">
            <wp:simplePos x="0" y="0"/>
            <wp:positionH relativeFrom="column">
              <wp:posOffset>260681</wp:posOffset>
            </wp:positionH>
            <wp:positionV relativeFrom="paragraph">
              <wp:posOffset>511258</wp:posOffset>
            </wp:positionV>
            <wp:extent cx="559463" cy="526553"/>
            <wp:effectExtent l="0" t="0" r="0" b="6985"/>
            <wp:wrapNone/>
            <wp:docPr id="267137568" name="Graphic 25" descr="Icon of papers with a check box">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37568" name="Graphic 25" descr="Icon of papers with a check box">
                      <a:hlinkClick r:id="rId30"/>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559463" cy="526553"/>
                    </a:xfrm>
                    <a:prstGeom prst="rect">
                      <a:avLst/>
                    </a:prstGeom>
                  </pic:spPr>
                </pic:pic>
              </a:graphicData>
            </a:graphic>
            <wp14:sizeRelH relativeFrom="page">
              <wp14:pctWidth>0</wp14:pctWidth>
            </wp14:sizeRelH>
            <wp14:sizeRelV relativeFrom="page">
              <wp14:pctHeight>0</wp14:pctHeight>
            </wp14:sizeRelV>
          </wp:anchor>
        </w:drawing>
      </w:r>
      <w:r w:rsidR="00D86A9E">
        <w:t>State Model Policies</w:t>
      </w:r>
      <w:bookmarkEnd w:id="2"/>
    </w:p>
    <w:tbl>
      <w:tblPr>
        <w:tblStyle w:val="TableGrid"/>
        <w:tblW w:w="8190"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C912C1" w14:paraId="38CB099D" w14:textId="77777777" w:rsidTr="00D718A2">
        <w:trPr>
          <w:trHeight w:val="998"/>
        </w:trPr>
        <w:tc>
          <w:tcPr>
            <w:tcW w:w="8190" w:type="dxa"/>
            <w:vAlign w:val="center"/>
          </w:tcPr>
          <w:p w14:paraId="00C24B2F" w14:textId="7AF6C3D9" w:rsidR="00EF64E2" w:rsidRPr="001B28EA" w:rsidRDefault="00EF64E2" w:rsidP="000F4DE5">
            <w:pPr>
              <w:rPr>
                <w:rStyle w:val="Emphasis"/>
                <w:b w:val="0"/>
                <w:bCs w:val="0"/>
                <w:sz w:val="24"/>
                <w:szCs w:val="28"/>
              </w:rPr>
            </w:pPr>
            <w:hyperlink w:anchor="_Eliminate_the_Asset" w:history="1">
              <w:r w:rsidRPr="001B28EA">
                <w:rPr>
                  <w:rStyle w:val="Hyperlink"/>
                  <w:b/>
                  <w:bCs/>
                  <w:color w:val="04577C" w:themeColor="accent5"/>
                  <w:sz w:val="24"/>
                  <w:szCs w:val="28"/>
                </w:rPr>
                <w:t>Eliminate the asset test</w:t>
              </w:r>
            </w:hyperlink>
          </w:p>
        </w:tc>
      </w:tr>
      <w:tr w:rsidR="00C912C1" w14:paraId="34279437" w14:textId="77777777" w:rsidTr="00D718A2">
        <w:trPr>
          <w:trHeight w:val="998"/>
        </w:trPr>
        <w:tc>
          <w:tcPr>
            <w:tcW w:w="8190" w:type="dxa"/>
            <w:vAlign w:val="center"/>
          </w:tcPr>
          <w:p w14:paraId="11E25D72" w14:textId="415BB4F9" w:rsidR="00EF64E2" w:rsidRPr="001B28EA" w:rsidRDefault="00EF64E2" w:rsidP="000F4DE5">
            <w:pPr>
              <w:rPr>
                <w:rStyle w:val="Emphasis"/>
                <w:b w:val="0"/>
                <w:bCs w:val="0"/>
                <w:sz w:val="24"/>
                <w:szCs w:val="28"/>
              </w:rPr>
            </w:pPr>
            <w:hyperlink w:anchor="_Flatten_the_Benefit" w:history="1">
              <w:r w:rsidRPr="001B28EA">
                <w:rPr>
                  <w:rStyle w:val="Hyperlink"/>
                  <w:b/>
                  <w:bCs/>
                  <w:color w:val="04577C" w:themeColor="accent5"/>
                  <w:sz w:val="24"/>
                  <w:szCs w:val="28"/>
                </w:rPr>
                <w:t>Flatten the benefit cliff from Medicaid to Medicare</w:t>
              </w:r>
            </w:hyperlink>
          </w:p>
        </w:tc>
      </w:tr>
      <w:tr w:rsidR="00C912C1" w14:paraId="1A16EB57" w14:textId="77777777" w:rsidTr="00D718A2">
        <w:trPr>
          <w:trHeight w:val="998"/>
        </w:trPr>
        <w:tc>
          <w:tcPr>
            <w:tcW w:w="8190" w:type="dxa"/>
            <w:vAlign w:val="center"/>
          </w:tcPr>
          <w:p w14:paraId="273E3F80" w14:textId="201F7C47" w:rsidR="00EF64E2" w:rsidRPr="00AC0B58" w:rsidRDefault="00AC0B58" w:rsidP="000F4DE5">
            <w:pPr>
              <w:rPr>
                <w:rStyle w:val="Emphasis"/>
                <w:b w:val="0"/>
                <w:bCs w:val="0"/>
                <w:sz w:val="24"/>
                <w:szCs w:val="28"/>
              </w:rPr>
            </w:pPr>
            <w:hyperlink w:anchor="_End_the_MSP" w:history="1">
              <w:r w:rsidRPr="00AC0B58">
                <w:rPr>
                  <w:rStyle w:val="Hyperlink"/>
                  <w:b/>
                  <w:bCs/>
                  <w:color w:val="04577C" w:themeColor="accent5"/>
                  <w:sz w:val="24"/>
                  <w:szCs w:val="28"/>
                </w:rPr>
                <w:t>End the MSP family caregiver penalty</w:t>
              </w:r>
            </w:hyperlink>
          </w:p>
        </w:tc>
      </w:tr>
      <w:tr w:rsidR="00C912C1" w14:paraId="4D30CC60" w14:textId="77777777" w:rsidTr="00D718A2">
        <w:trPr>
          <w:trHeight w:val="998"/>
        </w:trPr>
        <w:tc>
          <w:tcPr>
            <w:tcW w:w="8190" w:type="dxa"/>
            <w:vAlign w:val="center"/>
          </w:tcPr>
          <w:p w14:paraId="067B8F30" w14:textId="0A68F5D4" w:rsidR="00EF64E2" w:rsidRPr="001B28EA" w:rsidRDefault="00EF64E2" w:rsidP="000F4DE5">
            <w:pPr>
              <w:rPr>
                <w:rStyle w:val="Emphasis"/>
                <w:b w:val="0"/>
                <w:bCs w:val="0"/>
                <w:sz w:val="24"/>
                <w:szCs w:val="28"/>
              </w:rPr>
            </w:pPr>
            <w:hyperlink w:anchor="_Simplify_Eligibility_by" w:history="1">
              <w:r w:rsidRPr="001B28EA">
                <w:rPr>
                  <w:rStyle w:val="Hyperlink"/>
                  <w:b/>
                  <w:bCs/>
                  <w:color w:val="04577C" w:themeColor="accent5"/>
                  <w:sz w:val="24"/>
                  <w:szCs w:val="28"/>
                </w:rPr>
                <w:t>Simplify eligibility by disregarding the value of non-liquid assets</w:t>
              </w:r>
            </w:hyperlink>
          </w:p>
        </w:tc>
      </w:tr>
    </w:tbl>
    <w:p w14:paraId="6FEE4CB4" w14:textId="77777777" w:rsidR="00BE3412" w:rsidRDefault="00BE3412" w:rsidP="00BE3412">
      <w:pPr>
        <w:pStyle w:val="Heading3"/>
      </w:pPr>
      <w:r w:rsidRPr="000158A4">
        <w:t xml:space="preserve">Medicare Savings </w:t>
      </w:r>
      <w:r>
        <w:t>Programs in 2026</w:t>
      </w:r>
      <w:r>
        <w:rPr>
          <w:rStyle w:val="EndnoteReference"/>
          <w:rFonts w:ascii="Calibri" w:hAnsi="Calibri" w:cs="Calibri"/>
          <w:bCs/>
          <w:sz w:val="22"/>
          <w:szCs w:val="22"/>
        </w:rPr>
        <w:endnoteReference w:id="14"/>
      </w:r>
    </w:p>
    <w:tbl>
      <w:tblPr>
        <w:tblStyle w:val="TableGrid"/>
        <w:tblpPr w:leftFromText="180" w:rightFromText="180" w:vertAnchor="text" w:horzAnchor="margin" w:tblpY="-28"/>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53"/>
        <w:gridCol w:w="2382"/>
        <w:gridCol w:w="1350"/>
        <w:gridCol w:w="1600"/>
        <w:gridCol w:w="2265"/>
      </w:tblGrid>
      <w:tr w:rsidR="00BE3412" w:rsidRPr="000240A6" w14:paraId="7E289D87" w14:textId="77777777" w:rsidTr="00BE3412">
        <w:trPr>
          <w:trHeight w:val="300"/>
        </w:trPr>
        <w:tc>
          <w:tcPr>
            <w:tcW w:w="1753" w:type="dxa"/>
            <w:shd w:val="clear" w:color="auto" w:fill="386641" w:themeFill="accent1"/>
            <w:vAlign w:val="bottom"/>
          </w:tcPr>
          <w:p w14:paraId="5933B3AA" w14:textId="77777777" w:rsidR="00BE3412" w:rsidRPr="00170B12" w:rsidRDefault="00BE3412" w:rsidP="00BE3412">
            <w:pPr>
              <w:jc w:val="center"/>
              <w:rPr>
                <w:rFonts w:eastAsia="Calibri" w:cs="Times New Roman"/>
                <w:color w:val="FFFFFF" w:themeColor="background1"/>
                <w:szCs w:val="22"/>
              </w:rPr>
            </w:pPr>
            <w:r w:rsidRPr="00170B12">
              <w:rPr>
                <w:rFonts w:eastAsia="Calibri" w:cs="Times New Roman"/>
                <w:b/>
                <w:color w:val="FFFFFF" w:themeColor="background1"/>
                <w:szCs w:val="22"/>
              </w:rPr>
              <w:t>MSP Group</w:t>
            </w:r>
          </w:p>
        </w:tc>
        <w:tc>
          <w:tcPr>
            <w:tcW w:w="2382" w:type="dxa"/>
            <w:shd w:val="clear" w:color="auto" w:fill="386641" w:themeFill="accent1"/>
            <w:vAlign w:val="bottom"/>
          </w:tcPr>
          <w:p w14:paraId="2F807606" w14:textId="77777777" w:rsidR="00BE3412" w:rsidRPr="00170B12" w:rsidRDefault="00BE3412" w:rsidP="00BE3412">
            <w:pPr>
              <w:jc w:val="center"/>
              <w:rPr>
                <w:rFonts w:eastAsia="Calibri" w:cs="Times New Roman"/>
                <w:color w:val="FFFFFF" w:themeColor="background1"/>
                <w:szCs w:val="22"/>
              </w:rPr>
            </w:pPr>
            <w:r w:rsidRPr="00170B12">
              <w:rPr>
                <w:rFonts w:eastAsia="Calibri" w:cs="Times New Roman"/>
                <w:b/>
                <w:color w:val="FFFFFF" w:themeColor="background1"/>
                <w:szCs w:val="22"/>
              </w:rPr>
              <w:t>Monthly Income</w:t>
            </w:r>
          </w:p>
        </w:tc>
        <w:tc>
          <w:tcPr>
            <w:tcW w:w="1350" w:type="dxa"/>
            <w:shd w:val="clear" w:color="auto" w:fill="386641" w:themeFill="accent1"/>
            <w:vAlign w:val="bottom"/>
          </w:tcPr>
          <w:p w14:paraId="6E3C81EB" w14:textId="77777777" w:rsidR="00BE3412" w:rsidRPr="00170B12" w:rsidRDefault="00BE3412" w:rsidP="00BE3412">
            <w:pPr>
              <w:jc w:val="center"/>
              <w:rPr>
                <w:rFonts w:eastAsia="Calibri" w:cs="Times New Roman"/>
                <w:color w:val="FFFFFF" w:themeColor="background1"/>
                <w:szCs w:val="22"/>
              </w:rPr>
            </w:pPr>
            <w:r w:rsidRPr="00170B12">
              <w:rPr>
                <w:rFonts w:eastAsia="Calibri" w:cs="Times New Roman"/>
                <w:b/>
                <w:color w:val="FFFFFF" w:themeColor="background1"/>
                <w:szCs w:val="22"/>
              </w:rPr>
              <w:t>Asset Limits</w:t>
            </w:r>
          </w:p>
        </w:tc>
        <w:tc>
          <w:tcPr>
            <w:tcW w:w="1600" w:type="dxa"/>
            <w:shd w:val="clear" w:color="auto" w:fill="386641" w:themeFill="accent1"/>
            <w:vAlign w:val="bottom"/>
          </w:tcPr>
          <w:p w14:paraId="225107FD" w14:textId="77777777" w:rsidR="00BE3412" w:rsidRPr="00170B12" w:rsidRDefault="00BE3412" w:rsidP="00BE3412">
            <w:pPr>
              <w:jc w:val="center"/>
              <w:rPr>
                <w:rFonts w:eastAsia="Calibri" w:cs="Times New Roman"/>
                <w:color w:val="FFFFFF" w:themeColor="background1"/>
                <w:szCs w:val="22"/>
              </w:rPr>
            </w:pPr>
            <w:r w:rsidRPr="00170B12">
              <w:rPr>
                <w:rFonts w:eastAsia="Calibri" w:cs="Times New Roman"/>
                <w:b/>
                <w:color w:val="FFFFFF" w:themeColor="background1"/>
                <w:szCs w:val="22"/>
              </w:rPr>
              <w:t>Benefits</w:t>
            </w:r>
          </w:p>
        </w:tc>
        <w:tc>
          <w:tcPr>
            <w:tcW w:w="2265" w:type="dxa"/>
            <w:shd w:val="clear" w:color="auto" w:fill="386641" w:themeFill="accent1"/>
            <w:vAlign w:val="bottom"/>
          </w:tcPr>
          <w:p w14:paraId="19AC32E1" w14:textId="77777777" w:rsidR="00BE3412" w:rsidRPr="00170B12" w:rsidRDefault="00BE3412" w:rsidP="00BE3412">
            <w:pPr>
              <w:jc w:val="center"/>
              <w:rPr>
                <w:rFonts w:eastAsia="Calibri" w:cs="Times New Roman"/>
                <w:color w:val="FFFFFF" w:themeColor="background1"/>
                <w:szCs w:val="22"/>
              </w:rPr>
            </w:pPr>
            <w:r w:rsidRPr="00170B12">
              <w:rPr>
                <w:rFonts w:eastAsia="Calibri" w:cs="Times New Roman"/>
                <w:b/>
                <w:color w:val="FFFFFF" w:themeColor="background1"/>
                <w:szCs w:val="22"/>
              </w:rPr>
              <w:t>Federal Financing</w:t>
            </w:r>
            <w:r w:rsidRPr="00C66E90">
              <w:rPr>
                <w:rStyle w:val="EndnoteChar"/>
                <w:color w:val="FFFFFF" w:themeColor="background1"/>
              </w:rPr>
              <w:endnoteReference w:id="15"/>
            </w:r>
          </w:p>
        </w:tc>
      </w:tr>
      <w:tr w:rsidR="00BE3412" w:rsidRPr="000240A6" w14:paraId="255EB5A3" w14:textId="77777777" w:rsidTr="00BE3412">
        <w:trPr>
          <w:trHeight w:val="300"/>
        </w:trPr>
        <w:tc>
          <w:tcPr>
            <w:tcW w:w="1753" w:type="dxa"/>
          </w:tcPr>
          <w:p w14:paraId="7730424B" w14:textId="77777777" w:rsidR="00BE3412" w:rsidRPr="008F3FC6" w:rsidRDefault="00BE3412" w:rsidP="00BE3412">
            <w:pPr>
              <w:rPr>
                <w:rFonts w:cs="Tahoma"/>
                <w:b/>
                <w:bCs/>
                <w:sz w:val="20"/>
                <w:szCs w:val="20"/>
              </w:rPr>
            </w:pPr>
            <w:r w:rsidRPr="008F3FC6">
              <w:rPr>
                <w:rFonts w:cs="Tahoma"/>
                <w:b/>
                <w:bCs/>
                <w:sz w:val="20"/>
                <w:szCs w:val="20"/>
              </w:rPr>
              <w:t>Qualified Medicare Beneficiary (QMB)</w:t>
            </w:r>
          </w:p>
        </w:tc>
        <w:tc>
          <w:tcPr>
            <w:tcW w:w="2382" w:type="dxa"/>
          </w:tcPr>
          <w:p w14:paraId="116C3A00" w14:textId="77777777" w:rsidR="00BE3412" w:rsidRPr="008F3FC6" w:rsidRDefault="00BE3412" w:rsidP="00BE3412">
            <w:pPr>
              <w:rPr>
                <w:rFonts w:cs="Tahoma"/>
                <w:i/>
                <w:iCs/>
                <w:sz w:val="20"/>
                <w:szCs w:val="20"/>
              </w:rPr>
            </w:pPr>
            <w:r w:rsidRPr="008F3FC6">
              <w:rPr>
                <w:rFonts w:cs="Tahoma"/>
                <w:i/>
                <w:iCs/>
                <w:sz w:val="20"/>
                <w:szCs w:val="20"/>
              </w:rPr>
              <w:t>≤ 100% federal poverty level (FPL)</w:t>
            </w:r>
          </w:p>
          <w:p w14:paraId="7FF9C420" w14:textId="77777777" w:rsidR="00BE3412" w:rsidRPr="008F3FC6" w:rsidRDefault="00BE3412" w:rsidP="00BE3412">
            <w:pPr>
              <w:rPr>
                <w:rFonts w:cs="Tahoma"/>
                <w:sz w:val="20"/>
                <w:szCs w:val="20"/>
              </w:rPr>
            </w:pPr>
            <w:r w:rsidRPr="008F3FC6">
              <w:rPr>
                <w:rFonts w:cs="Tahoma"/>
                <w:sz w:val="20"/>
                <w:szCs w:val="20"/>
              </w:rPr>
              <w:t xml:space="preserve">Up to $1,350 for individual; up to $1,824 for couple </w:t>
            </w:r>
          </w:p>
          <w:p w14:paraId="2BE5ED52" w14:textId="77777777" w:rsidR="00BE3412" w:rsidRPr="008F3FC6" w:rsidRDefault="00BE3412" w:rsidP="00BE3412">
            <w:pPr>
              <w:rPr>
                <w:rFonts w:cs="Tahoma"/>
                <w:sz w:val="20"/>
                <w:szCs w:val="20"/>
              </w:rPr>
            </w:pPr>
          </w:p>
        </w:tc>
        <w:tc>
          <w:tcPr>
            <w:tcW w:w="1350" w:type="dxa"/>
          </w:tcPr>
          <w:p w14:paraId="2ECE39A2" w14:textId="77777777" w:rsidR="00BE3412" w:rsidRPr="008F3FC6" w:rsidRDefault="00BE3412" w:rsidP="00BE3412">
            <w:pPr>
              <w:rPr>
                <w:rFonts w:cs="Tahoma"/>
                <w:sz w:val="20"/>
                <w:szCs w:val="20"/>
              </w:rPr>
            </w:pPr>
            <w:r w:rsidRPr="008F3FC6">
              <w:rPr>
                <w:rFonts w:cs="Tahoma"/>
                <w:sz w:val="20"/>
                <w:szCs w:val="20"/>
              </w:rPr>
              <w:t>$9,950 for individual;</w:t>
            </w:r>
          </w:p>
          <w:p w14:paraId="3885C355" w14:textId="77777777" w:rsidR="00BE3412" w:rsidRPr="008F3FC6" w:rsidRDefault="00BE3412" w:rsidP="00BE3412">
            <w:pPr>
              <w:rPr>
                <w:rFonts w:cs="Tahoma"/>
                <w:sz w:val="20"/>
                <w:szCs w:val="20"/>
              </w:rPr>
            </w:pPr>
            <w:r w:rsidRPr="008F3FC6">
              <w:rPr>
                <w:rFonts w:cs="Tahoma"/>
                <w:sz w:val="20"/>
                <w:szCs w:val="20"/>
              </w:rPr>
              <w:t xml:space="preserve">$14,910 for couple </w:t>
            </w:r>
          </w:p>
        </w:tc>
        <w:tc>
          <w:tcPr>
            <w:tcW w:w="1600" w:type="dxa"/>
          </w:tcPr>
          <w:p w14:paraId="7EA378A7" w14:textId="77777777" w:rsidR="00BE3412" w:rsidRPr="008F3FC6" w:rsidRDefault="00BE3412" w:rsidP="00BE3412">
            <w:pPr>
              <w:rPr>
                <w:rFonts w:cs="Tahoma"/>
                <w:sz w:val="20"/>
                <w:szCs w:val="20"/>
              </w:rPr>
            </w:pPr>
            <w:r w:rsidRPr="008F3FC6">
              <w:rPr>
                <w:rFonts w:cs="Tahoma"/>
                <w:sz w:val="20"/>
                <w:szCs w:val="20"/>
              </w:rPr>
              <w:t xml:space="preserve">Monthly Part A premium </w:t>
            </w:r>
          </w:p>
          <w:p w14:paraId="6058AAA2" w14:textId="77777777" w:rsidR="00BE3412" w:rsidRPr="008F3FC6" w:rsidRDefault="00BE3412" w:rsidP="00BE3412">
            <w:pPr>
              <w:rPr>
                <w:rFonts w:cs="Tahoma"/>
                <w:sz w:val="20"/>
                <w:szCs w:val="20"/>
              </w:rPr>
            </w:pPr>
          </w:p>
          <w:p w14:paraId="4496EE61" w14:textId="77777777" w:rsidR="00BE3412" w:rsidRPr="008F3FC6" w:rsidRDefault="00BE3412" w:rsidP="00BE3412">
            <w:pPr>
              <w:rPr>
                <w:rFonts w:cs="Tahoma"/>
                <w:sz w:val="20"/>
                <w:szCs w:val="20"/>
              </w:rPr>
            </w:pPr>
            <w:r w:rsidRPr="008F3FC6">
              <w:rPr>
                <w:rFonts w:cs="Tahoma"/>
                <w:sz w:val="20"/>
                <w:szCs w:val="20"/>
              </w:rPr>
              <w:t xml:space="preserve">Monthly Part B premium  </w:t>
            </w:r>
          </w:p>
          <w:p w14:paraId="6D43DDCC" w14:textId="77777777" w:rsidR="00BE3412" w:rsidRPr="008F3FC6" w:rsidRDefault="00BE3412" w:rsidP="00BE3412">
            <w:pPr>
              <w:rPr>
                <w:rFonts w:cs="Tahoma"/>
                <w:sz w:val="20"/>
                <w:szCs w:val="20"/>
              </w:rPr>
            </w:pPr>
          </w:p>
          <w:p w14:paraId="5FA0BDCA" w14:textId="77777777" w:rsidR="00BE3412" w:rsidRPr="008F3FC6" w:rsidRDefault="00BE3412" w:rsidP="00BE3412">
            <w:pPr>
              <w:rPr>
                <w:rFonts w:cs="Tahoma"/>
                <w:sz w:val="20"/>
                <w:szCs w:val="20"/>
              </w:rPr>
            </w:pPr>
            <w:r w:rsidRPr="008F3FC6">
              <w:rPr>
                <w:rFonts w:cs="Tahoma"/>
                <w:sz w:val="20"/>
                <w:szCs w:val="20"/>
              </w:rPr>
              <w:t>Parts A and B cost sharing</w:t>
            </w:r>
          </w:p>
        </w:tc>
        <w:tc>
          <w:tcPr>
            <w:tcW w:w="2265" w:type="dxa"/>
          </w:tcPr>
          <w:p w14:paraId="349DD0C4" w14:textId="77777777" w:rsidR="00BE3412" w:rsidRPr="008F3FC6" w:rsidRDefault="00BE3412" w:rsidP="00BE3412">
            <w:pPr>
              <w:rPr>
                <w:rFonts w:cs="Tahoma"/>
                <w:sz w:val="20"/>
                <w:szCs w:val="20"/>
              </w:rPr>
            </w:pPr>
            <w:r w:rsidRPr="008F3FC6">
              <w:rPr>
                <w:rFonts w:cs="Tahoma"/>
                <w:sz w:val="20"/>
                <w:szCs w:val="20"/>
              </w:rPr>
              <w:t>Joint state and federal funding based on the state’s standard Federal Medical Assistance Percentage (FMAP) rate</w:t>
            </w:r>
          </w:p>
        </w:tc>
      </w:tr>
      <w:tr w:rsidR="00BE3412" w:rsidRPr="000240A6" w14:paraId="3BEE3BC3" w14:textId="77777777" w:rsidTr="00BE3412">
        <w:trPr>
          <w:trHeight w:val="960"/>
        </w:trPr>
        <w:tc>
          <w:tcPr>
            <w:tcW w:w="1753" w:type="dxa"/>
            <w:shd w:val="clear" w:color="auto" w:fill="F2F2F2" w:themeFill="background1" w:themeFillShade="F2"/>
          </w:tcPr>
          <w:p w14:paraId="3D6AFE2A" w14:textId="77777777" w:rsidR="00BE3412" w:rsidRPr="008F3FC6" w:rsidRDefault="00BE3412" w:rsidP="00BE3412">
            <w:pPr>
              <w:rPr>
                <w:rFonts w:cs="Tahoma"/>
                <w:b/>
                <w:bCs/>
                <w:sz w:val="20"/>
                <w:szCs w:val="20"/>
              </w:rPr>
            </w:pPr>
            <w:r w:rsidRPr="008F3FC6">
              <w:rPr>
                <w:rFonts w:cs="Tahoma"/>
                <w:b/>
                <w:bCs/>
                <w:sz w:val="20"/>
                <w:szCs w:val="20"/>
              </w:rPr>
              <w:t>Specified Low-Income Beneficiary (SLMB)</w:t>
            </w:r>
          </w:p>
        </w:tc>
        <w:tc>
          <w:tcPr>
            <w:tcW w:w="2382" w:type="dxa"/>
            <w:shd w:val="clear" w:color="auto" w:fill="F2F2F2" w:themeFill="background1" w:themeFillShade="F2"/>
          </w:tcPr>
          <w:p w14:paraId="4CA563D4" w14:textId="77777777" w:rsidR="00BE3412" w:rsidRPr="008F3FC6" w:rsidRDefault="00BE3412" w:rsidP="00BE3412">
            <w:pPr>
              <w:rPr>
                <w:rFonts w:cs="Tahoma"/>
                <w:i/>
                <w:iCs/>
                <w:sz w:val="20"/>
                <w:szCs w:val="20"/>
              </w:rPr>
            </w:pPr>
            <w:r w:rsidRPr="008F3FC6">
              <w:rPr>
                <w:rFonts w:cs="Tahoma"/>
                <w:i/>
                <w:iCs/>
                <w:sz w:val="20"/>
                <w:szCs w:val="20"/>
              </w:rPr>
              <w:t>&lt; 100% and &gt; 120% FPL</w:t>
            </w:r>
          </w:p>
          <w:p w14:paraId="7FF39C4B" w14:textId="62BCC32D" w:rsidR="00BE3412" w:rsidRPr="008F3FC6" w:rsidRDefault="00BE3412" w:rsidP="00BE3412">
            <w:pPr>
              <w:rPr>
                <w:rFonts w:cs="Tahoma"/>
                <w:sz w:val="20"/>
                <w:szCs w:val="20"/>
              </w:rPr>
            </w:pPr>
            <w:r w:rsidRPr="008F3FC6">
              <w:rPr>
                <w:rFonts w:cs="Tahoma"/>
                <w:sz w:val="20"/>
                <w:szCs w:val="20"/>
              </w:rPr>
              <w:t>Above $1</w:t>
            </w:r>
            <w:r w:rsidR="00691047">
              <w:rPr>
                <w:rFonts w:cs="Tahoma"/>
                <w:sz w:val="20"/>
                <w:szCs w:val="20"/>
              </w:rPr>
              <w:t>,</w:t>
            </w:r>
            <w:r w:rsidRPr="008F3FC6">
              <w:rPr>
                <w:rFonts w:cs="Tahoma"/>
                <w:sz w:val="20"/>
                <w:szCs w:val="20"/>
              </w:rPr>
              <w:t xml:space="preserve">350 and below $1,616 for individual; </w:t>
            </w:r>
          </w:p>
          <w:p w14:paraId="3FBFF91C" w14:textId="77777777" w:rsidR="00BE3412" w:rsidRPr="008F3FC6" w:rsidRDefault="00BE3412" w:rsidP="00BE3412">
            <w:pPr>
              <w:rPr>
                <w:rFonts w:cs="Tahoma"/>
                <w:sz w:val="20"/>
                <w:szCs w:val="20"/>
              </w:rPr>
            </w:pPr>
            <w:r w:rsidRPr="008F3FC6">
              <w:rPr>
                <w:rFonts w:cs="Tahoma"/>
                <w:sz w:val="20"/>
                <w:szCs w:val="20"/>
              </w:rPr>
              <w:t xml:space="preserve">above $1,825 and below $2,184 for couple </w:t>
            </w:r>
          </w:p>
        </w:tc>
        <w:tc>
          <w:tcPr>
            <w:tcW w:w="1350" w:type="dxa"/>
            <w:shd w:val="clear" w:color="auto" w:fill="F2F2F2" w:themeFill="background1" w:themeFillShade="F2"/>
          </w:tcPr>
          <w:p w14:paraId="42C4776C" w14:textId="77777777" w:rsidR="00BE3412" w:rsidRPr="008F3FC6" w:rsidRDefault="00BE3412" w:rsidP="00BE3412">
            <w:pPr>
              <w:rPr>
                <w:rFonts w:cs="Tahoma"/>
                <w:sz w:val="20"/>
                <w:szCs w:val="20"/>
              </w:rPr>
            </w:pPr>
            <w:r w:rsidRPr="008F3FC6">
              <w:rPr>
                <w:rFonts w:cs="Tahoma"/>
                <w:sz w:val="20"/>
                <w:szCs w:val="20"/>
              </w:rPr>
              <w:t>$9,950 for individual;</w:t>
            </w:r>
          </w:p>
          <w:p w14:paraId="06263252" w14:textId="77777777" w:rsidR="00BE3412" w:rsidRPr="008F3FC6" w:rsidRDefault="00BE3412" w:rsidP="00BE3412">
            <w:pPr>
              <w:rPr>
                <w:rFonts w:cs="Tahoma"/>
                <w:sz w:val="20"/>
                <w:szCs w:val="20"/>
              </w:rPr>
            </w:pPr>
            <w:r w:rsidRPr="008F3FC6">
              <w:rPr>
                <w:rFonts w:cs="Tahoma"/>
                <w:sz w:val="20"/>
                <w:szCs w:val="20"/>
              </w:rPr>
              <w:t>$14,910 for couple</w:t>
            </w:r>
          </w:p>
        </w:tc>
        <w:tc>
          <w:tcPr>
            <w:tcW w:w="1600" w:type="dxa"/>
            <w:shd w:val="clear" w:color="auto" w:fill="F2F2F2" w:themeFill="background1" w:themeFillShade="F2"/>
          </w:tcPr>
          <w:p w14:paraId="02651D3A" w14:textId="77777777" w:rsidR="00BE3412" w:rsidRPr="008F3FC6" w:rsidRDefault="00BE3412" w:rsidP="00BE3412">
            <w:pPr>
              <w:rPr>
                <w:rFonts w:cs="Tahoma"/>
                <w:sz w:val="20"/>
                <w:szCs w:val="20"/>
              </w:rPr>
            </w:pPr>
            <w:r w:rsidRPr="008F3FC6">
              <w:rPr>
                <w:rFonts w:cs="Tahoma"/>
                <w:sz w:val="20"/>
                <w:szCs w:val="20"/>
              </w:rPr>
              <w:t xml:space="preserve">Monthly Part B premium  </w:t>
            </w:r>
          </w:p>
          <w:p w14:paraId="7C1EFEB4" w14:textId="77777777" w:rsidR="00BE3412" w:rsidRPr="008F3FC6" w:rsidRDefault="00BE3412" w:rsidP="00BE3412">
            <w:pPr>
              <w:rPr>
                <w:rFonts w:cs="Tahoma"/>
                <w:sz w:val="20"/>
                <w:szCs w:val="20"/>
              </w:rPr>
            </w:pPr>
          </w:p>
        </w:tc>
        <w:tc>
          <w:tcPr>
            <w:tcW w:w="2265" w:type="dxa"/>
            <w:shd w:val="clear" w:color="auto" w:fill="F2F2F2" w:themeFill="background1" w:themeFillShade="F2"/>
          </w:tcPr>
          <w:p w14:paraId="4C1E27EB" w14:textId="77777777" w:rsidR="00BE3412" w:rsidRPr="008F3FC6" w:rsidRDefault="00BE3412" w:rsidP="00BE3412">
            <w:pPr>
              <w:rPr>
                <w:rFonts w:cs="Tahoma"/>
                <w:sz w:val="20"/>
                <w:szCs w:val="20"/>
              </w:rPr>
            </w:pPr>
            <w:r w:rsidRPr="008F3FC6">
              <w:rPr>
                <w:rFonts w:cs="Tahoma"/>
                <w:sz w:val="20"/>
                <w:szCs w:val="20"/>
              </w:rPr>
              <w:t>Standard FMAP rate</w:t>
            </w:r>
          </w:p>
        </w:tc>
      </w:tr>
      <w:tr w:rsidR="00BE3412" w:rsidRPr="000240A6" w14:paraId="035D28F4" w14:textId="77777777" w:rsidTr="00BE3412">
        <w:trPr>
          <w:trHeight w:val="300"/>
        </w:trPr>
        <w:tc>
          <w:tcPr>
            <w:tcW w:w="1753" w:type="dxa"/>
          </w:tcPr>
          <w:p w14:paraId="3D777611" w14:textId="77777777" w:rsidR="00BE3412" w:rsidRPr="008F3FC6" w:rsidRDefault="00BE3412" w:rsidP="00BE3412">
            <w:pPr>
              <w:rPr>
                <w:rFonts w:cs="Tahoma"/>
                <w:b/>
                <w:bCs/>
                <w:sz w:val="20"/>
                <w:szCs w:val="20"/>
              </w:rPr>
            </w:pPr>
            <w:r w:rsidRPr="008F3FC6">
              <w:rPr>
                <w:rFonts w:cs="Tahoma"/>
                <w:b/>
                <w:bCs/>
                <w:sz w:val="20"/>
                <w:szCs w:val="20"/>
              </w:rPr>
              <w:t>Qualifying Individuals (QI)</w:t>
            </w:r>
          </w:p>
        </w:tc>
        <w:tc>
          <w:tcPr>
            <w:tcW w:w="2382" w:type="dxa"/>
          </w:tcPr>
          <w:p w14:paraId="2AF935EE" w14:textId="77777777" w:rsidR="00BE3412" w:rsidRPr="008F3FC6" w:rsidRDefault="00BE3412" w:rsidP="00BE3412">
            <w:pPr>
              <w:rPr>
                <w:rFonts w:cs="Tahoma"/>
                <w:i/>
                <w:iCs/>
                <w:sz w:val="20"/>
                <w:szCs w:val="20"/>
              </w:rPr>
            </w:pPr>
            <w:r w:rsidRPr="008F3FC6">
              <w:rPr>
                <w:rFonts w:cs="Tahoma"/>
                <w:i/>
                <w:iCs/>
                <w:sz w:val="20"/>
                <w:szCs w:val="20"/>
              </w:rPr>
              <w:t>≥ 120% and &lt; 135% FPL</w:t>
            </w:r>
          </w:p>
          <w:p w14:paraId="54B92F66" w14:textId="77777777" w:rsidR="000810AF" w:rsidRDefault="00BE3412" w:rsidP="00BE3412">
            <w:pPr>
              <w:rPr>
                <w:rFonts w:cs="Tahoma"/>
                <w:sz w:val="20"/>
                <w:szCs w:val="20"/>
              </w:rPr>
            </w:pPr>
            <w:r w:rsidRPr="008F3FC6">
              <w:rPr>
                <w:rFonts w:cs="Tahoma"/>
                <w:sz w:val="20"/>
                <w:szCs w:val="20"/>
              </w:rPr>
              <w:t>At least $1,616 and below $1,816 for</w:t>
            </w:r>
            <w:r w:rsidR="000810AF">
              <w:rPr>
                <w:rFonts w:cs="Tahoma"/>
                <w:sz w:val="20"/>
                <w:szCs w:val="20"/>
              </w:rPr>
              <w:t xml:space="preserve"> </w:t>
            </w:r>
            <w:r w:rsidRPr="008F3FC6">
              <w:rPr>
                <w:rFonts w:cs="Tahoma"/>
                <w:sz w:val="20"/>
                <w:szCs w:val="20"/>
              </w:rPr>
              <w:t xml:space="preserve">individual; </w:t>
            </w:r>
          </w:p>
          <w:p w14:paraId="72082491" w14:textId="5B89E8EA" w:rsidR="00BE3412" w:rsidRPr="008F3FC6" w:rsidRDefault="00BE3412" w:rsidP="00BE3412">
            <w:pPr>
              <w:rPr>
                <w:rFonts w:cs="Tahoma"/>
                <w:sz w:val="20"/>
                <w:szCs w:val="20"/>
              </w:rPr>
            </w:pPr>
            <w:r w:rsidRPr="008F3FC6">
              <w:rPr>
                <w:rFonts w:cs="Tahoma"/>
                <w:sz w:val="20"/>
                <w:szCs w:val="20"/>
              </w:rPr>
              <w:t xml:space="preserve">at least $2,185 and below $2,455 for couple </w:t>
            </w:r>
          </w:p>
        </w:tc>
        <w:tc>
          <w:tcPr>
            <w:tcW w:w="1350" w:type="dxa"/>
          </w:tcPr>
          <w:p w14:paraId="3D6FC98F" w14:textId="77777777" w:rsidR="00BE3412" w:rsidRPr="008F3FC6" w:rsidRDefault="00BE3412" w:rsidP="00BE3412">
            <w:pPr>
              <w:rPr>
                <w:rFonts w:cs="Tahoma"/>
                <w:sz w:val="20"/>
                <w:szCs w:val="20"/>
              </w:rPr>
            </w:pPr>
            <w:r w:rsidRPr="008F3FC6">
              <w:rPr>
                <w:rFonts w:cs="Tahoma"/>
                <w:sz w:val="20"/>
                <w:szCs w:val="20"/>
              </w:rPr>
              <w:t>$9,950 for individual;</w:t>
            </w:r>
          </w:p>
          <w:p w14:paraId="04944899" w14:textId="77777777" w:rsidR="00BE3412" w:rsidRPr="008F3FC6" w:rsidRDefault="00BE3412" w:rsidP="00BE3412">
            <w:pPr>
              <w:rPr>
                <w:rFonts w:cs="Tahoma"/>
                <w:sz w:val="20"/>
                <w:szCs w:val="20"/>
              </w:rPr>
            </w:pPr>
            <w:r w:rsidRPr="008F3FC6">
              <w:rPr>
                <w:rFonts w:cs="Tahoma"/>
                <w:sz w:val="20"/>
                <w:szCs w:val="20"/>
              </w:rPr>
              <w:t>$14,910 for couple</w:t>
            </w:r>
          </w:p>
        </w:tc>
        <w:tc>
          <w:tcPr>
            <w:tcW w:w="1600" w:type="dxa"/>
          </w:tcPr>
          <w:p w14:paraId="47B1BA4C" w14:textId="77777777" w:rsidR="00BE3412" w:rsidRPr="008F3FC6" w:rsidRDefault="00BE3412" w:rsidP="00BE3412">
            <w:pPr>
              <w:rPr>
                <w:rFonts w:cs="Tahoma"/>
                <w:sz w:val="20"/>
                <w:szCs w:val="20"/>
              </w:rPr>
            </w:pPr>
            <w:r w:rsidRPr="008F3FC6">
              <w:rPr>
                <w:rFonts w:cs="Tahoma"/>
                <w:sz w:val="20"/>
                <w:szCs w:val="20"/>
              </w:rPr>
              <w:t xml:space="preserve">Monthly Part B premium </w:t>
            </w:r>
          </w:p>
          <w:p w14:paraId="0844CF9A" w14:textId="77777777" w:rsidR="00BE3412" w:rsidRPr="008F3FC6" w:rsidRDefault="00BE3412" w:rsidP="00BE3412">
            <w:pPr>
              <w:rPr>
                <w:rFonts w:cs="Tahoma"/>
                <w:sz w:val="20"/>
                <w:szCs w:val="20"/>
              </w:rPr>
            </w:pPr>
          </w:p>
        </w:tc>
        <w:tc>
          <w:tcPr>
            <w:tcW w:w="2265" w:type="dxa"/>
          </w:tcPr>
          <w:p w14:paraId="52DD0031" w14:textId="77777777" w:rsidR="00BE3412" w:rsidRPr="008F3FC6" w:rsidRDefault="00BE3412" w:rsidP="00BE3412">
            <w:pPr>
              <w:rPr>
                <w:rFonts w:cs="Tahoma"/>
                <w:sz w:val="20"/>
                <w:szCs w:val="20"/>
              </w:rPr>
            </w:pPr>
            <w:r w:rsidRPr="008F3FC6">
              <w:rPr>
                <w:rFonts w:cs="Tahoma"/>
                <w:sz w:val="20"/>
                <w:szCs w:val="20"/>
              </w:rPr>
              <w:t xml:space="preserve">100% federally funded </w:t>
            </w:r>
          </w:p>
        </w:tc>
      </w:tr>
      <w:tr w:rsidR="00BE3412" w:rsidRPr="000240A6" w14:paraId="41781BF6" w14:textId="77777777" w:rsidTr="00BE3412">
        <w:trPr>
          <w:trHeight w:val="300"/>
        </w:trPr>
        <w:tc>
          <w:tcPr>
            <w:tcW w:w="1753" w:type="dxa"/>
            <w:shd w:val="clear" w:color="auto" w:fill="F2F2F2" w:themeFill="background1" w:themeFillShade="F2"/>
          </w:tcPr>
          <w:p w14:paraId="27F8C141" w14:textId="77777777" w:rsidR="00BE3412" w:rsidRPr="008F3FC6" w:rsidRDefault="00BE3412" w:rsidP="00BE3412">
            <w:pPr>
              <w:rPr>
                <w:rFonts w:cs="Tahoma"/>
                <w:b/>
                <w:bCs/>
                <w:sz w:val="20"/>
                <w:szCs w:val="20"/>
              </w:rPr>
            </w:pPr>
            <w:r w:rsidRPr="008F3FC6">
              <w:rPr>
                <w:rFonts w:cs="Tahoma"/>
                <w:b/>
                <w:bCs/>
                <w:sz w:val="20"/>
                <w:szCs w:val="20"/>
              </w:rPr>
              <w:t>Qualified Disabled Working Individual (QDWI)</w:t>
            </w:r>
            <w:r w:rsidRPr="008F3FC6">
              <w:rPr>
                <w:rStyle w:val="EndnoteReference"/>
                <w:rFonts w:cs="Tahoma"/>
                <w:b/>
                <w:bCs/>
                <w:sz w:val="20"/>
                <w:szCs w:val="20"/>
              </w:rPr>
              <w:endnoteReference w:id="16"/>
            </w:r>
          </w:p>
        </w:tc>
        <w:tc>
          <w:tcPr>
            <w:tcW w:w="2382" w:type="dxa"/>
            <w:shd w:val="clear" w:color="auto" w:fill="F2F2F2" w:themeFill="background1" w:themeFillShade="F2"/>
          </w:tcPr>
          <w:p w14:paraId="0D1A9F53" w14:textId="77777777" w:rsidR="00BE3412" w:rsidRPr="008F3FC6" w:rsidRDefault="00BE3412" w:rsidP="00BE3412">
            <w:pPr>
              <w:rPr>
                <w:rFonts w:cs="Tahoma"/>
                <w:i/>
                <w:iCs/>
                <w:sz w:val="20"/>
                <w:szCs w:val="20"/>
              </w:rPr>
            </w:pPr>
            <w:r w:rsidRPr="008F3FC6">
              <w:rPr>
                <w:rFonts w:cs="Tahoma"/>
                <w:i/>
                <w:iCs/>
                <w:sz w:val="20"/>
                <w:szCs w:val="20"/>
              </w:rPr>
              <w:t>≤ 200% FPL</w:t>
            </w:r>
          </w:p>
          <w:p w14:paraId="515EFC48" w14:textId="77777777" w:rsidR="00BE3412" w:rsidRPr="008F3FC6" w:rsidRDefault="00BE3412" w:rsidP="00BE3412">
            <w:pPr>
              <w:rPr>
                <w:rFonts w:cs="Tahoma"/>
                <w:sz w:val="20"/>
                <w:szCs w:val="20"/>
              </w:rPr>
            </w:pPr>
            <w:r w:rsidRPr="008F3FC6">
              <w:rPr>
                <w:rFonts w:cs="Tahoma"/>
                <w:sz w:val="20"/>
                <w:szCs w:val="20"/>
              </w:rPr>
              <w:t>Up to $5,405 for individual; up to $7,299 for couple</w:t>
            </w:r>
          </w:p>
        </w:tc>
        <w:tc>
          <w:tcPr>
            <w:tcW w:w="1350" w:type="dxa"/>
            <w:shd w:val="clear" w:color="auto" w:fill="F2F2F2" w:themeFill="background1" w:themeFillShade="F2"/>
          </w:tcPr>
          <w:p w14:paraId="44013AC9" w14:textId="77777777" w:rsidR="00BE3412" w:rsidRPr="008F3FC6" w:rsidRDefault="00BE3412" w:rsidP="00BE3412">
            <w:pPr>
              <w:rPr>
                <w:rFonts w:cs="Tahoma"/>
                <w:sz w:val="20"/>
                <w:szCs w:val="20"/>
              </w:rPr>
            </w:pPr>
            <w:r w:rsidRPr="008F3FC6">
              <w:rPr>
                <w:rFonts w:cs="Tahoma"/>
                <w:sz w:val="20"/>
                <w:szCs w:val="20"/>
              </w:rPr>
              <w:t>$4,000 for individual;</w:t>
            </w:r>
          </w:p>
          <w:p w14:paraId="7E3908AF" w14:textId="77777777" w:rsidR="00BE3412" w:rsidRPr="008F3FC6" w:rsidRDefault="00BE3412" w:rsidP="00BE3412">
            <w:pPr>
              <w:rPr>
                <w:rFonts w:cs="Tahoma"/>
                <w:sz w:val="20"/>
                <w:szCs w:val="20"/>
              </w:rPr>
            </w:pPr>
            <w:r w:rsidRPr="008F3FC6">
              <w:rPr>
                <w:rFonts w:cs="Tahoma"/>
                <w:sz w:val="20"/>
                <w:szCs w:val="20"/>
              </w:rPr>
              <w:t>$6,000 for couple</w:t>
            </w:r>
          </w:p>
        </w:tc>
        <w:tc>
          <w:tcPr>
            <w:tcW w:w="1600" w:type="dxa"/>
            <w:shd w:val="clear" w:color="auto" w:fill="F2F2F2" w:themeFill="background1" w:themeFillShade="F2"/>
          </w:tcPr>
          <w:p w14:paraId="6D0F0F57" w14:textId="77777777" w:rsidR="00BE3412" w:rsidRPr="008F3FC6" w:rsidRDefault="00BE3412" w:rsidP="00BE3412">
            <w:pPr>
              <w:rPr>
                <w:rFonts w:cs="Tahoma"/>
                <w:sz w:val="20"/>
                <w:szCs w:val="20"/>
              </w:rPr>
            </w:pPr>
            <w:r w:rsidRPr="008F3FC6">
              <w:rPr>
                <w:rFonts w:cs="Tahoma"/>
                <w:sz w:val="20"/>
                <w:szCs w:val="20"/>
              </w:rPr>
              <w:t>Monthly Part A premium</w:t>
            </w:r>
          </w:p>
        </w:tc>
        <w:tc>
          <w:tcPr>
            <w:tcW w:w="2265" w:type="dxa"/>
            <w:shd w:val="clear" w:color="auto" w:fill="F2F2F2" w:themeFill="background1" w:themeFillShade="F2"/>
          </w:tcPr>
          <w:p w14:paraId="75CC80DA" w14:textId="77777777" w:rsidR="00BE3412" w:rsidRPr="008F3FC6" w:rsidRDefault="00BE3412" w:rsidP="00BE3412">
            <w:pPr>
              <w:rPr>
                <w:rFonts w:cs="Tahoma"/>
                <w:sz w:val="20"/>
                <w:szCs w:val="20"/>
              </w:rPr>
            </w:pPr>
            <w:r w:rsidRPr="008F3FC6">
              <w:rPr>
                <w:rFonts w:cs="Tahoma"/>
                <w:sz w:val="20"/>
                <w:szCs w:val="20"/>
              </w:rPr>
              <w:t>Standard FMAP rate</w:t>
            </w:r>
          </w:p>
        </w:tc>
      </w:tr>
    </w:tbl>
    <w:p w14:paraId="61BA3520" w14:textId="77777777" w:rsidR="008F75CB" w:rsidRPr="008F75CB" w:rsidRDefault="008F75CB" w:rsidP="008F75CB"/>
    <w:p w14:paraId="130568FF" w14:textId="77777777" w:rsidR="008F3FC6" w:rsidRPr="008F3FC6" w:rsidRDefault="008F3FC6" w:rsidP="008F3FC6"/>
    <w:p w14:paraId="5CCC73BC" w14:textId="1DDE2CE7" w:rsidR="008F3FC6" w:rsidRDefault="008F3FC6">
      <w:pPr>
        <w:spacing w:after="160"/>
      </w:pPr>
      <w:r>
        <w:br w:type="page"/>
      </w:r>
    </w:p>
    <w:p w14:paraId="6F6D67C4" w14:textId="5332BFD7" w:rsidR="008F3FC6" w:rsidRDefault="008F3FC6">
      <w:pPr>
        <w:spacing w:after="160"/>
      </w:pPr>
      <w:r>
        <w:br w:type="page"/>
      </w:r>
    </w:p>
    <w:p w14:paraId="5CF67BD6" w14:textId="77777777" w:rsidR="00480172" w:rsidRDefault="00480172" w:rsidP="0014057A">
      <w:pPr>
        <w:sectPr w:rsidR="00480172" w:rsidSect="00BC71B3">
          <w:headerReference w:type="default" r:id="rId33"/>
          <w:footerReference w:type="default" r:id="rId34"/>
          <w:endnotePr>
            <w:numFmt w:val="decimal"/>
          </w:endnotePr>
          <w:pgSz w:w="12240" w:h="15840"/>
          <w:pgMar w:top="1440" w:right="1440" w:bottom="1440" w:left="1440" w:header="720" w:footer="432" w:gutter="0"/>
          <w:cols w:space="720"/>
          <w:docGrid w:linePitch="360"/>
        </w:sectPr>
      </w:pPr>
    </w:p>
    <w:p w14:paraId="46F256B4" w14:textId="77777777" w:rsidR="00480172" w:rsidRDefault="00480172" w:rsidP="001E2553"/>
    <w:p w14:paraId="59F51CB2" w14:textId="77777777" w:rsidR="00480172" w:rsidRDefault="00480172" w:rsidP="00233ED1">
      <w:pPr>
        <w:pStyle w:val="SectionName"/>
      </w:pPr>
    </w:p>
    <w:p w14:paraId="2B5AADC9" w14:textId="77777777" w:rsidR="00480172" w:rsidRDefault="00480172" w:rsidP="00233ED1">
      <w:pPr>
        <w:pStyle w:val="SectionName"/>
      </w:pPr>
    </w:p>
    <w:p w14:paraId="50C9B8AF" w14:textId="77777777" w:rsidR="00480172" w:rsidRDefault="00480172" w:rsidP="00233ED1">
      <w:pPr>
        <w:pStyle w:val="SectionName"/>
      </w:pPr>
    </w:p>
    <w:p w14:paraId="65BEE20C" w14:textId="77777777" w:rsidR="00480172" w:rsidRDefault="00480172" w:rsidP="00233ED1">
      <w:pPr>
        <w:pStyle w:val="SectionName"/>
      </w:pPr>
    </w:p>
    <w:p w14:paraId="66F2C358" w14:textId="1922CD82" w:rsidR="00480172" w:rsidRDefault="00480172" w:rsidP="00BC71B3">
      <w:pPr>
        <w:pStyle w:val="SectionName"/>
      </w:pPr>
      <w:r>
        <w:t>Eliminate the Asset Test</w:t>
      </w:r>
      <w:r w:rsidRPr="000878C4">
        <w:t xml:space="preserve"> </w:t>
      </w:r>
    </w:p>
    <w:p w14:paraId="0A3CF0C5" w14:textId="6732AB86" w:rsidR="00480172" w:rsidRDefault="007D66BB">
      <w:pPr>
        <w:rPr>
          <w:rFonts w:eastAsiaTheme="majorEastAsia"/>
          <w:bCs/>
          <w:noProof/>
          <w:color w:val="386641" w:themeColor="accent1"/>
          <w:sz w:val="60"/>
          <w:szCs w:val="60"/>
        </w:rPr>
      </w:pPr>
      <w:r>
        <w:rPr>
          <w:noProof/>
        </w:rPr>
        <w:drawing>
          <wp:anchor distT="0" distB="0" distL="114300" distR="114300" simplePos="0" relativeHeight="251658257" behindDoc="0" locked="0" layoutInCell="1" allowOverlap="1" wp14:anchorId="723CD18A" wp14:editId="0E2D0823">
            <wp:simplePos x="0" y="0"/>
            <wp:positionH relativeFrom="column">
              <wp:posOffset>2354058</wp:posOffset>
            </wp:positionH>
            <wp:positionV relativeFrom="paragraph">
              <wp:posOffset>608234</wp:posOffset>
            </wp:positionV>
            <wp:extent cx="1240971" cy="1167973"/>
            <wp:effectExtent l="0" t="0" r="0" b="0"/>
            <wp:wrapNone/>
            <wp:docPr id="45128212" name="Graphic 12" descr="Icon of papers with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8212" name="Graphic 12" descr="Icon of papers with a check box"/>
                    <pic:cNvPicPr/>
                  </pic:nvPicPr>
                  <pic:blipFill>
                    <a:blip r:embed="rId35">
                      <a:extLst>
                        <a:ext uri="{96DAC541-7B7A-43D3-8B79-37D633B846F1}">
                          <asvg:svgBlip xmlns:asvg="http://schemas.microsoft.com/office/drawing/2016/SVG/main" r:embed="rId36"/>
                        </a:ext>
                      </a:extLst>
                    </a:blip>
                    <a:stretch>
                      <a:fillRect/>
                    </a:stretch>
                  </pic:blipFill>
                  <pic:spPr>
                    <a:xfrm>
                      <a:off x="0" y="0"/>
                      <a:ext cx="1240971" cy="1167973"/>
                    </a:xfrm>
                    <a:prstGeom prst="rect">
                      <a:avLst/>
                    </a:prstGeom>
                  </pic:spPr>
                </pic:pic>
              </a:graphicData>
            </a:graphic>
            <wp14:sizeRelH relativeFrom="page">
              <wp14:pctWidth>0</wp14:pctWidth>
            </wp14:sizeRelH>
            <wp14:sizeRelV relativeFrom="page">
              <wp14:pctHeight>0</wp14:pctHeight>
            </wp14:sizeRelV>
          </wp:anchor>
        </w:drawing>
      </w:r>
      <w:r w:rsidR="00FB59D8">
        <w:rPr>
          <w:noProof/>
        </w:rPr>
        <mc:AlternateContent>
          <mc:Choice Requires="wps">
            <w:drawing>
              <wp:anchor distT="0" distB="0" distL="114300" distR="114300" simplePos="0" relativeHeight="251658244" behindDoc="1" locked="0" layoutInCell="1" allowOverlap="1" wp14:anchorId="561B12D5" wp14:editId="2E2A6CE8">
                <wp:simplePos x="0" y="0"/>
                <wp:positionH relativeFrom="column">
                  <wp:posOffset>-452755</wp:posOffset>
                </wp:positionH>
                <wp:positionV relativeFrom="paragraph">
                  <wp:posOffset>415925</wp:posOffset>
                </wp:positionV>
                <wp:extent cx="6873875" cy="1609725"/>
                <wp:effectExtent l="0" t="0" r="22225" b="28575"/>
                <wp:wrapNone/>
                <wp:docPr id="899916061" name="Rectangle 121"/>
                <wp:cNvGraphicFramePr/>
                <a:graphic xmlns:a="http://schemas.openxmlformats.org/drawingml/2006/main">
                  <a:graphicData uri="http://schemas.microsoft.com/office/word/2010/wordprocessingShape">
                    <wps:wsp>
                      <wps:cNvSpPr/>
                      <wps:spPr>
                        <a:xfrm>
                          <a:off x="0" y="0"/>
                          <a:ext cx="6873875" cy="1609725"/>
                        </a:xfrm>
                        <a:prstGeom prst="roundRect">
                          <a:avLst>
                            <a:gd name="adj" fmla="val 1961"/>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6D481685" w14:textId="77777777" w:rsidR="00480172" w:rsidRDefault="00480172" w:rsidP="00F33C7A">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B12D5" id="_x0000_s1028" style="position:absolute;margin-left:-35.65pt;margin-top:32.75pt;width:541.25pt;height:126.7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" fillcolor="#386641 [3204]" strokecolor="#386641 [3204]">
                <v:textbox inset="36pt,14.4pt,36pt,36pt">
                  <w:txbxContent>
                    <w:p w14:paraId="6D481685" w14:textId="77777777" w:rsidR="00480172" w:rsidRDefault="00480172" w:rsidP="00F33C7A">
                      <w:pPr>
                        <w:pStyle w:val="NoSpacing"/>
                        <w:rPr>
                          <w:caps/>
                          <w:color w:val="FFFFFF" w:themeColor="background1"/>
                        </w:rPr>
                      </w:pPr>
                    </w:p>
                  </w:txbxContent>
                </v:textbox>
              </v:roundrect>
            </w:pict>
          </mc:Fallback>
        </mc:AlternateContent>
      </w:r>
      <w:r w:rsidR="00FB59D8">
        <w:rPr>
          <w:noProof/>
        </w:rPr>
        <mc:AlternateContent>
          <mc:Choice Requires="wps">
            <w:drawing>
              <wp:anchor distT="0" distB="0" distL="114300" distR="114300" simplePos="0" relativeHeight="251658245" behindDoc="1" locked="0" layoutInCell="1" allowOverlap="1" wp14:anchorId="2597C3B7" wp14:editId="066F0A3D">
                <wp:simplePos x="0" y="0"/>
                <wp:positionH relativeFrom="column">
                  <wp:posOffset>-448945</wp:posOffset>
                </wp:positionH>
                <wp:positionV relativeFrom="paragraph">
                  <wp:posOffset>119316</wp:posOffset>
                </wp:positionV>
                <wp:extent cx="6877685" cy="142875"/>
                <wp:effectExtent l="0" t="0" r="18415" b="28575"/>
                <wp:wrapNone/>
                <wp:docPr id="76981178" name="Rectangle 120"/>
                <wp:cNvGraphicFramePr/>
                <a:graphic xmlns:a="http://schemas.openxmlformats.org/drawingml/2006/main">
                  <a:graphicData uri="http://schemas.microsoft.com/office/word/2010/wordprocessingShape">
                    <wps:wsp>
                      <wps:cNvSpPr/>
                      <wps:spPr>
                        <a:xfrm>
                          <a:off x="0" y="0"/>
                          <a:ext cx="6877685" cy="142875"/>
                        </a:xfrm>
                        <a:prstGeom prst="roundRect">
                          <a:avLst/>
                        </a:prstGeom>
                        <a:solidFill>
                          <a:schemeClr val="accent2"/>
                        </a:solidFill>
                        <a:ln>
                          <a:solidFill>
                            <a:schemeClr val="accent2"/>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120" style="position:absolute;margin-left:-35.35pt;margin-top:9.4pt;width:541.55pt;height:11.25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994e [3205]" strokecolor="#6a994e [3205]" arcsize="10923f" w14:anchorId="6DC5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"/>
            </w:pict>
          </mc:Fallback>
        </mc:AlternateContent>
      </w:r>
      <w:r w:rsidR="00480172">
        <w:br w:type="page"/>
      </w:r>
    </w:p>
    <w:p w14:paraId="5487969F" w14:textId="77777777" w:rsidR="008276D5" w:rsidRDefault="008276D5" w:rsidP="00F66E33">
      <w:pPr>
        <w:pStyle w:val="Heading1"/>
        <w:sectPr w:rsidR="008276D5" w:rsidSect="00BC71B3">
          <w:headerReference w:type="default" r:id="rId37"/>
          <w:footerReference w:type="default" r:id="rId38"/>
          <w:endnotePr>
            <w:numFmt w:val="decimal"/>
          </w:endnotePr>
          <w:pgSz w:w="12240" w:h="15840"/>
          <w:pgMar w:top="1440" w:right="1440" w:bottom="1440" w:left="1440" w:header="720" w:footer="432" w:gutter="0"/>
          <w:cols w:space="720"/>
          <w:docGrid w:linePitch="360"/>
        </w:sectPr>
      </w:pPr>
      <w:bookmarkStart w:id="3" w:name="_Eliminate_the_Asset"/>
      <w:bookmarkEnd w:id="3"/>
    </w:p>
    <w:p w14:paraId="20942F9D" w14:textId="019F1BE7" w:rsidR="00480172" w:rsidRDefault="00F66E33" w:rsidP="00F66E33">
      <w:pPr>
        <w:pStyle w:val="Heading1"/>
      </w:pPr>
      <w:bookmarkStart w:id="4" w:name="_Eliminate_the_Asset_1"/>
      <w:bookmarkStart w:id="5" w:name="_Toc226982631"/>
      <w:bookmarkEnd w:id="4"/>
      <w:r>
        <w:t>Eliminate the Asset Test</w:t>
      </w:r>
      <w:bookmarkEnd w:id="5"/>
    </w:p>
    <w:tbl>
      <w:tblPr>
        <w:tblStyle w:val="MagentaTable1"/>
        <w:tblpPr w:leftFromText="180" w:rightFromText="180" w:vertAnchor="text" w:tblpXSpec="center" w:tblpY="1"/>
        <w:tblW w:w="4955" w:type="pct"/>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CellMar>
          <w:top w:w="115" w:type="dxa"/>
          <w:left w:w="101" w:type="dxa"/>
          <w:bottom w:w="72" w:type="dxa"/>
          <w:right w:w="101" w:type="dxa"/>
        </w:tblCellMar>
        <w:tblLook w:val="0480" w:firstRow="0" w:lastRow="0" w:firstColumn="1" w:lastColumn="0" w:noHBand="0" w:noVBand="1"/>
      </w:tblPr>
      <w:tblGrid>
        <w:gridCol w:w="2604"/>
        <w:gridCol w:w="6662"/>
      </w:tblGrid>
      <w:tr w:rsidR="00146026" w:rsidRPr="0025673F" w14:paraId="415054D9" w14:textId="77777777" w:rsidTr="0045676A">
        <w:trPr>
          <w:cantSplit/>
          <w:trHeight w:val="1826"/>
          <w:jc w:val="center"/>
        </w:trPr>
        <w:tc>
          <w:tcPr>
            <w:tcW w:w="1405" w:type="pct"/>
            <w:shd w:val="clear" w:color="auto" w:fill="414150" w:themeFill="text1"/>
            <w:vAlign w:val="center"/>
            <w:hideMark/>
          </w:tcPr>
          <w:p w14:paraId="2BDD21A1" w14:textId="77777777" w:rsidR="00F66E33" w:rsidRPr="0025673F" w:rsidRDefault="00F66E33" w:rsidP="00B778D3">
            <w:pPr>
              <w:rPr>
                <w:rFonts w:eastAsia="Calibri"/>
                <w:b/>
                <w:bCs/>
                <w:color w:val="FFFFFF" w:themeColor="background1"/>
              </w:rPr>
            </w:pPr>
            <w:r>
              <w:rPr>
                <w:rFonts w:eastAsia="Calibri"/>
                <w:b/>
                <w:bCs/>
                <w:color w:val="FFFFFF" w:themeColor="background1"/>
              </w:rPr>
              <w:t>Problem</w:t>
            </w:r>
          </w:p>
        </w:tc>
        <w:tc>
          <w:tcPr>
            <w:tcW w:w="3595" w:type="pct"/>
            <w:vAlign w:val="center"/>
            <w:hideMark/>
          </w:tcPr>
          <w:p w14:paraId="5D5FDA8E" w14:textId="77777777" w:rsidR="00F66E33" w:rsidRPr="0025673F" w:rsidRDefault="00F66E33" w:rsidP="001E5636">
            <w:pPr>
              <w:spacing w:after="0"/>
              <w:rPr>
                <w:rFonts w:eastAsia="Calibri"/>
              </w:rPr>
            </w:pPr>
            <w:r w:rsidRPr="003B7F40">
              <w:t>Many older adults and people with disabilities skip medical care and struggle financially because of high Medicare premiums and cost sharing. By leveraging the Medicare Savings Programs, states can ease the financial strain of Medicare. However, confusing and time-consuming asset verification requirements delay or prevent many eligible individuals from enrolling.</w:t>
            </w:r>
          </w:p>
        </w:tc>
      </w:tr>
      <w:tr w:rsidR="00146026" w:rsidRPr="0025673F" w14:paraId="7B6CF894" w14:textId="77777777" w:rsidTr="0045676A">
        <w:trPr>
          <w:cantSplit/>
          <w:trHeight w:val="404"/>
          <w:jc w:val="center"/>
        </w:trPr>
        <w:tc>
          <w:tcPr>
            <w:tcW w:w="1405" w:type="pct"/>
            <w:shd w:val="clear" w:color="auto" w:fill="414150" w:themeFill="text1"/>
            <w:vAlign w:val="center"/>
            <w:hideMark/>
          </w:tcPr>
          <w:p w14:paraId="41D3EBD0" w14:textId="77777777" w:rsidR="00F66E33" w:rsidRPr="0025673F" w:rsidRDefault="00F66E33">
            <w:pPr>
              <w:rPr>
                <w:rFonts w:eastAsia="Calibri"/>
                <w:b/>
                <w:bCs/>
                <w:color w:val="FFFFFF" w:themeColor="background1"/>
              </w:rPr>
            </w:pPr>
            <w:r>
              <w:rPr>
                <w:rFonts w:eastAsia="Calibri"/>
                <w:b/>
                <w:bCs/>
                <w:color w:val="FFFFFF" w:themeColor="background1"/>
              </w:rPr>
              <w:t>Solution</w:t>
            </w:r>
          </w:p>
        </w:tc>
        <w:tc>
          <w:tcPr>
            <w:tcW w:w="3595" w:type="pct"/>
            <w:shd w:val="clear" w:color="auto" w:fill="F2F2F2" w:themeFill="background1" w:themeFillShade="F2"/>
            <w:vAlign w:val="center"/>
            <w:hideMark/>
          </w:tcPr>
          <w:p w14:paraId="7A0A6260" w14:textId="77777777" w:rsidR="00F66E33" w:rsidRPr="0025673F" w:rsidRDefault="00F66E33" w:rsidP="001E5636">
            <w:pPr>
              <w:spacing w:after="0"/>
              <w:rPr>
                <w:rFonts w:eastAsia="Calibri"/>
              </w:rPr>
            </w:pPr>
            <w:r w:rsidRPr="003B7F40">
              <w:t>Remove the asset test for the Medicare Savings Programs; determine eligibility solely by income.</w:t>
            </w:r>
          </w:p>
        </w:tc>
      </w:tr>
      <w:tr w:rsidR="00146026" w:rsidRPr="0025673F" w14:paraId="28A61035" w14:textId="77777777" w:rsidTr="0045676A">
        <w:trPr>
          <w:cantSplit/>
          <w:trHeight w:val="1502"/>
          <w:jc w:val="center"/>
        </w:trPr>
        <w:tc>
          <w:tcPr>
            <w:tcW w:w="1405" w:type="pct"/>
            <w:shd w:val="clear" w:color="auto" w:fill="414150" w:themeFill="text1"/>
            <w:vAlign w:val="center"/>
          </w:tcPr>
          <w:p w14:paraId="1E8941C6" w14:textId="77777777" w:rsidR="00F66E33" w:rsidRPr="00480172" w:rsidRDefault="00F66E33">
            <w:pPr>
              <w:rPr>
                <w:rFonts w:eastAsia="Calibri"/>
                <w:b/>
                <w:bCs/>
                <w:color w:val="FFFFFF" w:themeColor="background1"/>
              </w:rPr>
            </w:pPr>
            <w:r w:rsidRPr="00480172">
              <w:rPr>
                <w:rFonts w:eastAsia="Calibri"/>
                <w:b/>
                <w:bCs/>
                <w:color w:val="FFFFFF" w:themeColor="background1"/>
              </w:rPr>
              <w:t>Benefits for older adults and people with disabilities</w:t>
            </w:r>
          </w:p>
        </w:tc>
        <w:tc>
          <w:tcPr>
            <w:tcW w:w="3595" w:type="pct"/>
            <w:vAlign w:val="center"/>
          </w:tcPr>
          <w:p w14:paraId="12AD1416" w14:textId="355BDBA9" w:rsidR="00F66E33" w:rsidRPr="003F01C9" w:rsidRDefault="00F66E33" w:rsidP="001E5636">
            <w:pPr>
              <w:pStyle w:val="Bullets"/>
              <w:ind w:left="435"/>
            </w:pPr>
            <w:r w:rsidRPr="003F01C9">
              <w:t>Significantly reduce burdens</w:t>
            </w:r>
            <w:r w:rsidR="00F10C3D">
              <w:t>.</w:t>
            </w:r>
          </w:p>
          <w:p w14:paraId="14E84A97" w14:textId="2006AB9A" w:rsidR="00F66E33" w:rsidRPr="003F01C9" w:rsidRDefault="00F66E33" w:rsidP="001E5636">
            <w:pPr>
              <w:pStyle w:val="Bullets"/>
              <w:ind w:left="435"/>
            </w:pPr>
            <w:r w:rsidRPr="003F01C9">
              <w:t>Improve health care access</w:t>
            </w:r>
            <w:r w:rsidR="00F10C3D">
              <w:t>.</w:t>
            </w:r>
          </w:p>
          <w:p w14:paraId="2E8237FB" w14:textId="3AF1F82E" w:rsidR="00F66E33" w:rsidRDefault="00F66E33" w:rsidP="001E5636">
            <w:pPr>
              <w:pStyle w:val="Bullets"/>
              <w:ind w:left="435"/>
            </w:pPr>
            <w:r w:rsidRPr="003F01C9">
              <w:t>Reduce financial strain</w:t>
            </w:r>
            <w:r w:rsidR="00F10C3D">
              <w:t>.</w:t>
            </w:r>
          </w:p>
          <w:p w14:paraId="54AA69B4" w14:textId="6FCAD041" w:rsidR="00F66E33" w:rsidRPr="00BC35FF" w:rsidRDefault="00F66E33" w:rsidP="001E5636">
            <w:pPr>
              <w:pStyle w:val="Bullets"/>
              <w:ind w:left="435"/>
            </w:pPr>
            <w:r w:rsidRPr="00BC35FF">
              <w:t>Reduce mortality</w:t>
            </w:r>
            <w:r w:rsidR="00F10C3D">
              <w:t>.</w:t>
            </w:r>
          </w:p>
        </w:tc>
      </w:tr>
      <w:tr w:rsidR="00146026" w:rsidRPr="0025673F" w14:paraId="524F676F" w14:textId="77777777" w:rsidTr="0045676A">
        <w:trPr>
          <w:cantSplit/>
          <w:trHeight w:val="1457"/>
          <w:jc w:val="center"/>
        </w:trPr>
        <w:tc>
          <w:tcPr>
            <w:tcW w:w="1405" w:type="pct"/>
            <w:shd w:val="clear" w:color="auto" w:fill="414150" w:themeFill="text1"/>
            <w:vAlign w:val="center"/>
          </w:tcPr>
          <w:p w14:paraId="05C897BA" w14:textId="77777777" w:rsidR="00F66E33" w:rsidRPr="0025673F" w:rsidRDefault="00F66E33">
            <w:pPr>
              <w:rPr>
                <w:rFonts w:eastAsia="Calibri"/>
                <w:b/>
                <w:bCs/>
                <w:color w:val="FFFFFF" w:themeColor="background1"/>
              </w:rPr>
            </w:pPr>
            <w:r w:rsidRPr="00480172">
              <w:rPr>
                <w:rFonts w:eastAsia="Calibri"/>
                <w:b/>
                <w:bCs/>
                <w:color w:val="FFFFFF" w:themeColor="background1"/>
              </w:rPr>
              <w:t>Benefits for states</w:t>
            </w:r>
          </w:p>
        </w:tc>
        <w:tc>
          <w:tcPr>
            <w:tcW w:w="3595" w:type="pct"/>
            <w:shd w:val="clear" w:color="auto" w:fill="F2F2F2" w:themeFill="background1" w:themeFillShade="F2"/>
            <w:vAlign w:val="center"/>
          </w:tcPr>
          <w:p w14:paraId="7B715F35" w14:textId="52A43BC2" w:rsidR="00F66E33" w:rsidRPr="003B7F40" w:rsidRDefault="00F66E33" w:rsidP="001E5636">
            <w:pPr>
              <w:pStyle w:val="Bullets"/>
              <w:ind w:left="435"/>
            </w:pPr>
            <w:r w:rsidRPr="003B7F40">
              <w:t>Significantly reduce administrative burden</w:t>
            </w:r>
            <w:r w:rsidR="00F10C3D">
              <w:t>.</w:t>
            </w:r>
          </w:p>
          <w:p w14:paraId="475E6DA3" w14:textId="01955BEB" w:rsidR="00F66E33" w:rsidRPr="003B7F40" w:rsidRDefault="00F66E33" w:rsidP="001E5636">
            <w:pPr>
              <w:pStyle w:val="Bullets"/>
              <w:ind w:left="435"/>
            </w:pPr>
            <w:r w:rsidRPr="003B7F40">
              <w:t>Lower administrative costs</w:t>
            </w:r>
            <w:r w:rsidR="00F10C3D">
              <w:t>.</w:t>
            </w:r>
          </w:p>
          <w:p w14:paraId="0CA0E9F3" w14:textId="59F40310" w:rsidR="00F66E33" w:rsidRPr="003B7F40" w:rsidRDefault="00F66E33" w:rsidP="001E5636">
            <w:pPr>
              <w:pStyle w:val="Bullets"/>
              <w:ind w:left="435"/>
            </w:pPr>
            <w:r w:rsidRPr="003B7F40">
              <w:t xml:space="preserve">Increase automated </w:t>
            </w:r>
            <w:r>
              <w:rPr>
                <w:i/>
              </w:rPr>
              <w:t>(</w:t>
            </w:r>
            <w:r w:rsidRPr="003B7F40">
              <w:rPr>
                <w:i/>
                <w:iCs/>
              </w:rPr>
              <w:t xml:space="preserve">ex </w:t>
            </w:r>
            <w:proofErr w:type="spellStart"/>
            <w:r w:rsidRPr="003B7F40">
              <w:rPr>
                <w:i/>
                <w:iCs/>
              </w:rPr>
              <w:t>parte</w:t>
            </w:r>
            <w:proofErr w:type="spellEnd"/>
            <w:r w:rsidRPr="00B9083A">
              <w:rPr>
                <w:i/>
              </w:rPr>
              <w:t>)</w:t>
            </w:r>
            <w:r w:rsidRPr="003B7F40">
              <w:t xml:space="preserve"> renewal rates</w:t>
            </w:r>
            <w:r w:rsidR="00F10C3D">
              <w:t>.</w:t>
            </w:r>
          </w:p>
          <w:p w14:paraId="143BB9B1" w14:textId="01265B9A" w:rsidR="00F66E33" w:rsidRPr="0025673F" w:rsidRDefault="00F66E33" w:rsidP="001E5636">
            <w:pPr>
              <w:pStyle w:val="Bullets"/>
              <w:ind w:left="435"/>
              <w:rPr>
                <w:rFonts w:eastAsia="Calibri"/>
              </w:rPr>
            </w:pPr>
            <w:r w:rsidRPr="003B7F40">
              <w:t>Lower error rates</w:t>
            </w:r>
            <w:r w:rsidR="00F10C3D">
              <w:t>.</w:t>
            </w:r>
          </w:p>
        </w:tc>
      </w:tr>
      <w:tr w:rsidR="00146026" w:rsidRPr="0025673F" w14:paraId="5F14299D" w14:textId="77777777" w:rsidTr="0045676A">
        <w:trPr>
          <w:cantSplit/>
          <w:trHeight w:val="683"/>
          <w:jc w:val="center"/>
        </w:trPr>
        <w:tc>
          <w:tcPr>
            <w:tcW w:w="1405" w:type="pct"/>
            <w:shd w:val="clear" w:color="auto" w:fill="414150" w:themeFill="text1"/>
            <w:vAlign w:val="center"/>
          </w:tcPr>
          <w:p w14:paraId="4B3FE6A3" w14:textId="77777777" w:rsidR="00F66E33" w:rsidRPr="0025673F" w:rsidRDefault="00F66E33">
            <w:pPr>
              <w:rPr>
                <w:rFonts w:eastAsia="Calibri"/>
                <w:b/>
                <w:bCs/>
                <w:color w:val="FFFFFF" w:themeColor="background1"/>
              </w:rPr>
            </w:pPr>
            <w:r w:rsidRPr="00480172">
              <w:rPr>
                <w:rFonts w:eastAsia="Calibri"/>
                <w:b/>
                <w:bCs/>
                <w:color w:val="FFFFFF" w:themeColor="background1"/>
              </w:rPr>
              <w:t>State cost implications</w:t>
            </w:r>
          </w:p>
        </w:tc>
        <w:tc>
          <w:tcPr>
            <w:tcW w:w="3595" w:type="pct"/>
            <w:shd w:val="clear" w:color="auto" w:fill="FFFFFF" w:themeFill="background1"/>
            <w:vAlign w:val="center"/>
          </w:tcPr>
          <w:p w14:paraId="6D7FE8D5" w14:textId="77777777" w:rsidR="00F66E33" w:rsidRPr="0025673F" w:rsidRDefault="00F66E33" w:rsidP="001E5636">
            <w:pPr>
              <w:spacing w:after="0"/>
              <w:rPr>
                <w:rFonts w:eastAsia="Calibri"/>
              </w:rPr>
            </w:pPr>
            <w:r w:rsidRPr="003B7F40">
              <w:t>Modest new Medicaid costs in initial years.</w:t>
            </w:r>
          </w:p>
        </w:tc>
      </w:tr>
    </w:tbl>
    <w:p w14:paraId="2047BCC2" w14:textId="64BCB074" w:rsidR="005F5216" w:rsidRDefault="005F5216" w:rsidP="005F5216">
      <w:pPr>
        <w:pStyle w:val="Heading2"/>
      </w:pPr>
      <w:bookmarkStart w:id="6" w:name="_Toc226982632"/>
      <w:r>
        <w:t>Summary</w:t>
      </w:r>
      <w:bookmarkEnd w:id="6"/>
    </w:p>
    <w:p w14:paraId="7EC6BE84" w14:textId="77777777" w:rsidR="005F5216" w:rsidRDefault="005F5216" w:rsidP="005F5216">
      <w:r w:rsidRPr="13B01520">
        <w:t>Medicare Savings Program (MSP) eligibility is limited to people with incomes near or below the poverty level. In most states, MSP applicants must also separately demonstrate having no more than $9,950 in countable assets (or $14,910 for a couple</w:t>
      </w:r>
      <w:r>
        <w:t>)</w:t>
      </w:r>
      <w:r w:rsidRPr="13B01520">
        <w:t xml:space="preserve"> in 2026 even though </w:t>
      </w:r>
      <w:r>
        <w:t xml:space="preserve">people with </w:t>
      </w:r>
      <w:r w:rsidRPr="13B01520">
        <w:t>poverty-level income generally have limited assets.</w:t>
      </w:r>
      <w:r>
        <w:rPr>
          <w:rStyle w:val="EndnoteReference"/>
          <w:rFonts w:ascii="Calibri" w:hAnsi="Calibri" w:cs="Calibri"/>
          <w:sz w:val="22"/>
          <w:szCs w:val="22"/>
        </w:rPr>
        <w:endnoteReference w:id="17"/>
      </w:r>
      <w:r w:rsidRPr="13B01520">
        <w:t xml:space="preserve"> Th</w:t>
      </w:r>
      <w:r>
        <w:t>is</w:t>
      </w:r>
      <w:r w:rsidRPr="13B01520">
        <w:t xml:space="preserve"> asset test often require</w:t>
      </w:r>
      <w:r>
        <w:t>s</w:t>
      </w:r>
      <w:r w:rsidRPr="13B01520">
        <w:t xml:space="preserve"> extensive documentation.</w:t>
      </w:r>
    </w:p>
    <w:p w14:paraId="36838674" w14:textId="77777777" w:rsidR="00813A90" w:rsidRDefault="00813A90">
      <w:pPr>
        <w:spacing w:after="160"/>
      </w:pPr>
      <w:r>
        <w:br w:type="page"/>
      </w:r>
    </w:p>
    <w:p w14:paraId="070B9F58" w14:textId="5665D07A" w:rsidR="0081624E" w:rsidRDefault="00813A90" w:rsidP="005F5216">
      <w:r>
        <w:rPr>
          <w:noProof/>
        </w:rPr>
        <mc:AlternateContent>
          <mc:Choice Requires="wps">
            <w:drawing>
              <wp:anchor distT="0" distB="0" distL="114300" distR="114300" simplePos="0" relativeHeight="251658261" behindDoc="1" locked="0" layoutInCell="1" allowOverlap="1" wp14:anchorId="7DC60CE9" wp14:editId="696565ED">
                <wp:simplePos x="0" y="0"/>
                <wp:positionH relativeFrom="margin">
                  <wp:posOffset>0</wp:posOffset>
                </wp:positionH>
                <wp:positionV relativeFrom="paragraph">
                  <wp:posOffset>275590</wp:posOffset>
                </wp:positionV>
                <wp:extent cx="5918200" cy="1066800"/>
                <wp:effectExtent l="0" t="0" r="6350" b="0"/>
                <wp:wrapNone/>
                <wp:docPr id="1634198277" name="Rectangle: Rounded Corners 12"/>
                <wp:cNvGraphicFramePr/>
                <a:graphic xmlns:a="http://schemas.openxmlformats.org/drawingml/2006/main">
                  <a:graphicData uri="http://schemas.microsoft.com/office/word/2010/wordprocessingShape">
                    <wps:wsp>
                      <wps:cNvSpPr/>
                      <wps:spPr>
                        <a:xfrm>
                          <a:off x="0" y="0"/>
                          <a:ext cx="5918200" cy="10668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DFEE7D7" id="Rectangle: Rounded Corners 12" o:spid="_x0000_s1026" style="position:absolute;margin-left:0;margin-top:21.7pt;width:466pt;height:84pt;z-index:-251658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" fillcolor="#386641 [3204]" stroked="f" strokeweight="1pt">
                <v:stroke joinstyle="miter"/>
                <w10:wrap anchorx="margin"/>
              </v:roundrect>
            </w:pict>
          </mc:Fallback>
        </mc:AlternateContent>
      </w:r>
      <w:r w:rsidR="005F5216">
        <w:t>As one advocate reported</w:t>
      </w:r>
      <w:r w:rsidR="0081624E">
        <w:t>:</w:t>
      </w:r>
    </w:p>
    <w:p w14:paraId="58395AA8" w14:textId="25524B59" w:rsidR="005F5216" w:rsidRPr="00813A90" w:rsidRDefault="005F5216" w:rsidP="00813A90">
      <w:pPr>
        <w:spacing w:before="240" w:after="480" w:line="240" w:lineRule="auto"/>
        <w:jc w:val="center"/>
        <w:rPr>
          <w:b/>
          <w:color w:val="FFFFFF" w:themeColor="background1"/>
          <w:sz w:val="28"/>
          <w:szCs w:val="28"/>
        </w:rPr>
      </w:pPr>
      <w:r w:rsidRPr="00813A90">
        <w:rPr>
          <w:rFonts w:cs="Tahoma"/>
          <w:b/>
          <w:color w:val="FFFFFF" w:themeColor="background1"/>
          <w:sz w:val="28"/>
          <w:szCs w:val="28"/>
        </w:rPr>
        <w:t xml:space="preserve">“The asset requirement is the biggest slowdown in the </w:t>
      </w:r>
      <w:r w:rsidR="00813A90">
        <w:rPr>
          <w:rFonts w:cs="Tahoma"/>
          <w:b/>
          <w:bCs/>
          <w:color w:val="FFFFFF" w:themeColor="background1"/>
          <w:sz w:val="28"/>
          <w:szCs w:val="28"/>
        </w:rPr>
        <w:br/>
      </w:r>
      <w:r w:rsidRPr="00813A90">
        <w:rPr>
          <w:rFonts w:cs="Tahoma"/>
          <w:b/>
          <w:color w:val="FFFFFF" w:themeColor="background1"/>
          <w:sz w:val="28"/>
          <w:szCs w:val="28"/>
        </w:rPr>
        <w:t xml:space="preserve">approval process. Income is, for many </w:t>
      </w:r>
      <w:r w:rsidRPr="00813A90">
        <w:rPr>
          <w:rStyle w:val="PullQuoteChar"/>
          <w:color w:val="FFFFFF" w:themeColor="background1"/>
        </w:rPr>
        <w:t>people</w:t>
      </w:r>
      <w:r w:rsidRPr="00813A90">
        <w:rPr>
          <w:rFonts w:cs="Tahoma"/>
          <w:b/>
          <w:color w:val="FFFFFF" w:themeColor="background1"/>
          <w:sz w:val="28"/>
          <w:szCs w:val="28"/>
        </w:rPr>
        <w:t xml:space="preserve">, just their </w:t>
      </w:r>
      <w:r w:rsidR="00813A90">
        <w:rPr>
          <w:rFonts w:cs="Tahoma"/>
          <w:b/>
          <w:bCs/>
          <w:color w:val="FFFFFF" w:themeColor="background1"/>
          <w:sz w:val="28"/>
          <w:szCs w:val="28"/>
        </w:rPr>
        <w:br/>
      </w:r>
      <w:r w:rsidRPr="00813A90">
        <w:rPr>
          <w:rFonts w:cs="Tahoma"/>
          <w:b/>
          <w:color w:val="FFFFFF" w:themeColor="background1"/>
          <w:sz w:val="28"/>
          <w:szCs w:val="28"/>
        </w:rPr>
        <w:t xml:space="preserve">social security checks, so it’s very straightforward. It’s the </w:t>
      </w:r>
      <w:r w:rsidR="00813A90">
        <w:rPr>
          <w:rFonts w:cs="Tahoma"/>
          <w:b/>
          <w:bCs/>
          <w:color w:val="FFFFFF" w:themeColor="background1"/>
          <w:sz w:val="28"/>
          <w:szCs w:val="28"/>
        </w:rPr>
        <w:br/>
      </w:r>
      <w:r w:rsidRPr="00813A90">
        <w:rPr>
          <w:rFonts w:cs="Tahoma"/>
          <w:b/>
          <w:color w:val="FFFFFF" w:themeColor="background1"/>
          <w:sz w:val="28"/>
          <w:szCs w:val="28"/>
        </w:rPr>
        <w:t>assets that are a lot more complicated and intimidating.”</w:t>
      </w:r>
      <w:r w:rsidRPr="00813A90">
        <w:rPr>
          <w:rStyle w:val="EndnoteReference"/>
          <w:rFonts w:cs="Tahoma"/>
          <w:b/>
          <w:color w:val="FFFFFF" w:themeColor="background1"/>
          <w:sz w:val="18"/>
          <w:szCs w:val="18"/>
        </w:rPr>
        <w:endnoteReference w:id="18"/>
      </w:r>
    </w:p>
    <w:p w14:paraId="609B2654" w14:textId="11431ABF" w:rsidR="005F5216" w:rsidRDefault="005F5216" w:rsidP="005F5216">
      <w:r w:rsidRPr="666C7CA5">
        <w:t xml:space="preserve">The model state legislation below </w:t>
      </w:r>
      <w:r w:rsidRPr="2E88941C">
        <w:t>would</w:t>
      </w:r>
      <w:r w:rsidRPr="4EBB69B0">
        <w:t xml:space="preserve"> </w:t>
      </w:r>
      <w:r w:rsidRPr="2EC0A5E5">
        <w:t xml:space="preserve">effectively remove the asset test for the </w:t>
      </w:r>
      <w:r>
        <w:t xml:space="preserve">Qualified Medicare Beneficiary, Specified Low-Income Medicare Beneficiary, and Qualifying Individuals categories </w:t>
      </w:r>
      <w:r w:rsidRPr="2EC0A5E5">
        <w:t xml:space="preserve">by disregarding the value </w:t>
      </w:r>
      <w:r w:rsidRPr="4495C923">
        <w:t xml:space="preserve">of </w:t>
      </w:r>
      <w:r w:rsidRPr="2EC0A5E5">
        <w:t>all assets, as permitted by section 1902(r)(2) of the</w:t>
      </w:r>
      <w:r>
        <w:t xml:space="preserve"> Social Security</w:t>
      </w:r>
      <w:r w:rsidRPr="2EC0A5E5">
        <w:t xml:space="preserve"> Act.</w:t>
      </w:r>
      <w:r>
        <w:rPr>
          <w:rStyle w:val="EndnoteReference"/>
          <w:rFonts w:ascii="Calibri" w:hAnsi="Calibri" w:cs="Calibri"/>
          <w:sz w:val="22"/>
          <w:szCs w:val="22"/>
        </w:rPr>
        <w:endnoteReference w:id="19"/>
      </w:r>
      <w:r>
        <w:t xml:space="preserve"> </w:t>
      </w:r>
      <w:r w:rsidRPr="0019487C">
        <w:t xml:space="preserve">This model policy does not include the </w:t>
      </w:r>
      <w:r>
        <w:t>Qualified Disabled Working Individual</w:t>
      </w:r>
      <w:r w:rsidRPr="0019487C">
        <w:t xml:space="preserve"> category because states cannot disregard assets for this group, unlike other MSP categories.</w:t>
      </w:r>
      <w:r>
        <w:rPr>
          <w:rStyle w:val="EndnoteReference"/>
          <w:rFonts w:ascii="Calibri" w:hAnsi="Calibri" w:cs="Calibri"/>
          <w:sz w:val="22"/>
          <w:szCs w:val="22"/>
        </w:rPr>
        <w:endnoteReference w:id="20"/>
      </w:r>
    </w:p>
    <w:p w14:paraId="7935D676" w14:textId="77777777" w:rsidR="005F5216" w:rsidRPr="00A30D78" w:rsidRDefault="005F5216" w:rsidP="005F5216">
      <w:r>
        <w:t>States must obtain federal approval for this policy, but the process is routine</w:t>
      </w:r>
      <w:r w:rsidRPr="0B05BACB">
        <w:t xml:space="preserve">. It just requires </w:t>
      </w:r>
      <w:r>
        <w:t>a standard amendment to their State Medicaid Plan.</w:t>
      </w:r>
    </w:p>
    <w:p w14:paraId="238719FF" w14:textId="3C7878A8" w:rsidR="005E7606" w:rsidRPr="00984EE8" w:rsidRDefault="005E7606" w:rsidP="00984EE8">
      <w:pPr>
        <w:pStyle w:val="BlueEmphasis"/>
        <w:rPr>
          <w:rStyle w:val="Emphasis"/>
          <w:b/>
          <w:bCs w:val="0"/>
        </w:rPr>
      </w:pPr>
      <w:r w:rsidRPr="00984EE8">
        <w:rPr>
          <w:rStyle w:val="Emphasis"/>
          <w:b/>
          <w:bCs w:val="0"/>
        </w:rPr>
        <w:t xml:space="preserve">Where this </w:t>
      </w:r>
      <w:r w:rsidR="00610B36" w:rsidRPr="00984EE8">
        <w:rPr>
          <w:rStyle w:val="Emphasis"/>
          <w:b/>
          <w:bCs w:val="0"/>
        </w:rPr>
        <w:t xml:space="preserve">model </w:t>
      </w:r>
      <w:r w:rsidRPr="00984EE8">
        <w:rPr>
          <w:rStyle w:val="Emphasis"/>
          <w:b/>
          <w:bCs w:val="0"/>
        </w:rPr>
        <w:t xml:space="preserve">policy </w:t>
      </w:r>
      <w:r w:rsidR="00610B36" w:rsidRPr="00984EE8">
        <w:rPr>
          <w:rStyle w:val="Emphasis"/>
          <w:b/>
          <w:bCs w:val="0"/>
        </w:rPr>
        <w:t>c</w:t>
      </w:r>
      <w:r w:rsidRPr="00984EE8">
        <w:rPr>
          <w:rStyle w:val="Emphasis"/>
          <w:b/>
          <w:bCs w:val="0"/>
        </w:rPr>
        <w:t xml:space="preserve">ould apply: </w:t>
      </w:r>
    </w:p>
    <w:p w14:paraId="7B7CAA06" w14:textId="6A324ACB" w:rsidR="00F66E33" w:rsidRPr="00CA7623" w:rsidRDefault="00F66E33" w:rsidP="00CA7623">
      <w:pPr>
        <w:rPr>
          <w:rStyle w:val="Emphasis"/>
          <w:b w:val="0"/>
          <w:bCs w:val="0"/>
        </w:rPr>
      </w:pPr>
      <w:r w:rsidRPr="00CA7623">
        <w:rPr>
          <w:rStyle w:val="Emphasis"/>
          <w:b w:val="0"/>
          <w:bCs w:val="0"/>
        </w:rPr>
        <w:t>Thirteen states and D.C. have already removed the asset test for the MSPs.</w:t>
      </w:r>
      <w:r w:rsidRPr="004E309F">
        <w:rPr>
          <w:rStyle w:val="EndnoteChar"/>
          <w:rFonts w:ascii="Calibri" w:hAnsi="Calibri" w:cs="Calibri"/>
          <w:sz w:val="22"/>
          <w:szCs w:val="22"/>
          <w:vertAlign w:val="superscript"/>
        </w:rPr>
        <w:endnoteReference w:id="2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2748"/>
        <w:gridCol w:w="2748"/>
      </w:tblGrid>
      <w:tr w:rsidR="004E7388" w14:paraId="28520483" w14:textId="77777777" w:rsidTr="00CA7623">
        <w:trPr>
          <w:trHeight w:val="2142"/>
        </w:trPr>
        <w:tc>
          <w:tcPr>
            <w:tcW w:w="2748" w:type="dxa"/>
          </w:tcPr>
          <w:p w14:paraId="611F8BF6" w14:textId="77777777" w:rsidR="00F66E33" w:rsidRPr="00095318" w:rsidRDefault="00F66E33" w:rsidP="00A17B47">
            <w:pPr>
              <w:pStyle w:val="Bullets"/>
              <w:rPr>
                <w:color w:val="04577C" w:themeColor="accent5"/>
                <w:sz w:val="24"/>
              </w:rPr>
            </w:pPr>
            <w:r w:rsidRPr="00095318">
              <w:rPr>
                <w:sz w:val="24"/>
              </w:rPr>
              <w:t>Alabama</w:t>
            </w:r>
          </w:p>
          <w:p w14:paraId="119AB03A" w14:textId="77777777" w:rsidR="00CA7623" w:rsidRPr="00095318" w:rsidRDefault="00CA7623" w:rsidP="00A17B47">
            <w:pPr>
              <w:pStyle w:val="Bullets"/>
              <w:rPr>
                <w:rStyle w:val="Emphasis"/>
                <w:b w:val="0"/>
                <w:bCs w:val="0"/>
                <w:sz w:val="24"/>
              </w:rPr>
            </w:pPr>
            <w:r w:rsidRPr="00095318">
              <w:rPr>
                <w:rStyle w:val="Emphasis"/>
                <w:b w:val="0"/>
                <w:bCs w:val="0"/>
                <w:sz w:val="24"/>
              </w:rPr>
              <w:t>Arizona</w:t>
            </w:r>
          </w:p>
          <w:p w14:paraId="132A4B36" w14:textId="77777777" w:rsidR="00CA7623" w:rsidRPr="00095318" w:rsidRDefault="00CA7623" w:rsidP="00A17B47">
            <w:pPr>
              <w:pStyle w:val="Bullets"/>
              <w:rPr>
                <w:rStyle w:val="Emphasis"/>
                <w:b w:val="0"/>
                <w:bCs w:val="0"/>
                <w:sz w:val="24"/>
              </w:rPr>
            </w:pPr>
            <w:r w:rsidRPr="00095318">
              <w:rPr>
                <w:rStyle w:val="Emphasis"/>
                <w:b w:val="0"/>
                <w:bCs w:val="0"/>
                <w:sz w:val="24"/>
              </w:rPr>
              <w:t>Connecticut</w:t>
            </w:r>
          </w:p>
          <w:p w14:paraId="7E7363D4" w14:textId="77777777" w:rsidR="00CA7623" w:rsidRPr="00095318" w:rsidRDefault="00CA7623" w:rsidP="00A17B47">
            <w:pPr>
              <w:pStyle w:val="Bullets"/>
              <w:rPr>
                <w:rStyle w:val="Emphasis"/>
                <w:b w:val="0"/>
                <w:bCs w:val="0"/>
                <w:sz w:val="24"/>
              </w:rPr>
            </w:pPr>
            <w:r w:rsidRPr="00095318">
              <w:rPr>
                <w:rStyle w:val="Emphasis"/>
                <w:b w:val="0"/>
                <w:bCs w:val="0"/>
                <w:sz w:val="24"/>
              </w:rPr>
              <w:t>Delaware</w:t>
            </w:r>
          </w:p>
          <w:p w14:paraId="78939E7D" w14:textId="6288D196" w:rsidR="00CA7623" w:rsidRPr="00095318" w:rsidRDefault="00CA7623" w:rsidP="00A17B47">
            <w:pPr>
              <w:pStyle w:val="Bullets"/>
              <w:rPr>
                <w:rStyle w:val="Emphasis"/>
                <w:sz w:val="24"/>
              </w:rPr>
            </w:pPr>
            <w:r w:rsidRPr="00095318">
              <w:rPr>
                <w:rStyle w:val="Emphasis"/>
                <w:b w:val="0"/>
                <w:bCs w:val="0"/>
                <w:sz w:val="24"/>
              </w:rPr>
              <w:t>District of Columbia</w:t>
            </w:r>
          </w:p>
        </w:tc>
        <w:tc>
          <w:tcPr>
            <w:tcW w:w="2748" w:type="dxa"/>
          </w:tcPr>
          <w:p w14:paraId="0651B512" w14:textId="77777777" w:rsidR="00F66E33" w:rsidRPr="00095318" w:rsidRDefault="00F66E33" w:rsidP="00A17B47">
            <w:pPr>
              <w:pStyle w:val="Bullets"/>
              <w:rPr>
                <w:color w:val="04577C" w:themeColor="accent5"/>
                <w:sz w:val="24"/>
              </w:rPr>
            </w:pPr>
            <w:r w:rsidRPr="00095318">
              <w:rPr>
                <w:sz w:val="24"/>
              </w:rPr>
              <w:t>Louisiana</w:t>
            </w:r>
          </w:p>
          <w:p w14:paraId="5DCCD88E" w14:textId="77777777" w:rsidR="00CA7623" w:rsidRPr="00095318" w:rsidRDefault="00CA7623" w:rsidP="00A17B47">
            <w:pPr>
              <w:pStyle w:val="Bullets"/>
              <w:rPr>
                <w:color w:val="04577C" w:themeColor="accent5"/>
                <w:sz w:val="24"/>
              </w:rPr>
            </w:pPr>
            <w:r w:rsidRPr="00095318">
              <w:rPr>
                <w:sz w:val="24"/>
              </w:rPr>
              <w:t>Maine</w:t>
            </w:r>
          </w:p>
          <w:p w14:paraId="0BE5535D" w14:textId="77777777" w:rsidR="00CA7623" w:rsidRPr="00095318" w:rsidRDefault="00CA7623" w:rsidP="00A17B47">
            <w:pPr>
              <w:pStyle w:val="Bullets"/>
              <w:rPr>
                <w:color w:val="04577C" w:themeColor="accent5"/>
                <w:sz w:val="24"/>
              </w:rPr>
            </w:pPr>
            <w:r w:rsidRPr="00095318">
              <w:rPr>
                <w:sz w:val="24"/>
              </w:rPr>
              <w:t>Massachusetts</w:t>
            </w:r>
          </w:p>
          <w:p w14:paraId="2396C808" w14:textId="77777777" w:rsidR="00CA7623" w:rsidRPr="00095318" w:rsidRDefault="00CA7623" w:rsidP="00A17B47">
            <w:pPr>
              <w:pStyle w:val="Bullets"/>
              <w:rPr>
                <w:color w:val="04577C" w:themeColor="accent5"/>
                <w:sz w:val="24"/>
              </w:rPr>
            </w:pPr>
            <w:r w:rsidRPr="00095318">
              <w:rPr>
                <w:sz w:val="24"/>
              </w:rPr>
              <w:t>Mississippi</w:t>
            </w:r>
          </w:p>
          <w:p w14:paraId="52341A6B" w14:textId="24E8990D" w:rsidR="00CA7623" w:rsidRPr="00095318" w:rsidRDefault="00CA7623" w:rsidP="00A17B47">
            <w:pPr>
              <w:pStyle w:val="Bullets"/>
              <w:rPr>
                <w:rStyle w:val="Emphasis"/>
                <w:sz w:val="24"/>
              </w:rPr>
            </w:pPr>
            <w:r w:rsidRPr="00095318">
              <w:rPr>
                <w:rStyle w:val="Emphasis"/>
                <w:b w:val="0"/>
                <w:bCs w:val="0"/>
                <w:sz w:val="24"/>
              </w:rPr>
              <w:t>New Mexico</w:t>
            </w:r>
          </w:p>
        </w:tc>
        <w:tc>
          <w:tcPr>
            <w:tcW w:w="2748" w:type="dxa"/>
          </w:tcPr>
          <w:p w14:paraId="1AB4C83F" w14:textId="77777777" w:rsidR="00CA7623" w:rsidRPr="00095318" w:rsidRDefault="00F66E33" w:rsidP="00A17B47">
            <w:pPr>
              <w:pStyle w:val="Bullets"/>
              <w:rPr>
                <w:b/>
                <w:bCs/>
                <w:color w:val="04577C" w:themeColor="accent5"/>
                <w:sz w:val="24"/>
              </w:rPr>
            </w:pPr>
            <w:r w:rsidRPr="00095318">
              <w:rPr>
                <w:sz w:val="24"/>
              </w:rPr>
              <w:t>New York</w:t>
            </w:r>
          </w:p>
          <w:p w14:paraId="4976EB97" w14:textId="77777777" w:rsidR="00CA7623" w:rsidRPr="00095318" w:rsidRDefault="00CA7623" w:rsidP="00A17B47">
            <w:pPr>
              <w:pStyle w:val="Bullets"/>
              <w:rPr>
                <w:rStyle w:val="Emphasis"/>
                <w:sz w:val="24"/>
              </w:rPr>
            </w:pPr>
            <w:r w:rsidRPr="00095318">
              <w:rPr>
                <w:rStyle w:val="Emphasis"/>
                <w:b w:val="0"/>
                <w:bCs w:val="0"/>
                <w:sz w:val="24"/>
              </w:rPr>
              <w:t>Oregon</w:t>
            </w:r>
          </w:p>
          <w:p w14:paraId="1A6FBD79" w14:textId="77777777" w:rsidR="00CA7623" w:rsidRPr="00095318" w:rsidRDefault="00CA7623" w:rsidP="00A17B47">
            <w:pPr>
              <w:pStyle w:val="Bullets"/>
              <w:rPr>
                <w:rStyle w:val="Emphasis"/>
                <w:sz w:val="24"/>
              </w:rPr>
            </w:pPr>
            <w:r w:rsidRPr="00095318">
              <w:rPr>
                <w:rStyle w:val="Emphasis"/>
                <w:b w:val="0"/>
                <w:bCs w:val="0"/>
                <w:sz w:val="24"/>
              </w:rPr>
              <w:t>Vermont</w:t>
            </w:r>
          </w:p>
          <w:p w14:paraId="33E66233" w14:textId="4EF35F84" w:rsidR="00CA7623" w:rsidRPr="00095318" w:rsidRDefault="00CA7623" w:rsidP="00A17B47">
            <w:pPr>
              <w:pStyle w:val="Bullets"/>
              <w:rPr>
                <w:rStyle w:val="Emphasis"/>
                <w:sz w:val="24"/>
              </w:rPr>
            </w:pPr>
            <w:r w:rsidRPr="00095318">
              <w:rPr>
                <w:rStyle w:val="Emphasis"/>
                <w:b w:val="0"/>
                <w:bCs w:val="0"/>
                <w:sz w:val="24"/>
              </w:rPr>
              <w:t>Washington</w:t>
            </w:r>
          </w:p>
        </w:tc>
      </w:tr>
    </w:tbl>
    <w:p w14:paraId="50CA43E4" w14:textId="7F26A893" w:rsidR="00F66E33" w:rsidRPr="004B04EE" w:rsidRDefault="005F5216" w:rsidP="004B04EE">
      <w:pPr>
        <w:rPr>
          <w:rFonts w:cs="Tahoma"/>
        </w:rPr>
      </w:pPr>
      <w:r w:rsidRPr="004B04EE">
        <w:rPr>
          <w:rFonts w:cs="Tahoma"/>
        </w:rPr>
        <w:t>As such, this specific option is only relevant in the remaining states.</w:t>
      </w:r>
      <w:r w:rsidRPr="004B04EE">
        <w:rPr>
          <w:rStyle w:val="EndnoteReference"/>
          <w:rFonts w:cs="Tahoma"/>
        </w:rPr>
        <w:t xml:space="preserve"> </w:t>
      </w:r>
    </w:p>
    <w:p w14:paraId="63F59EAB" w14:textId="098B2770" w:rsidR="00F66E33" w:rsidRPr="00944B09" w:rsidRDefault="00F66E33" w:rsidP="00F66E33">
      <w:pPr>
        <w:rPr>
          <w:rFonts w:cs="Tahoma"/>
          <w:b/>
        </w:rPr>
      </w:pPr>
      <w:r w:rsidRPr="00944B09">
        <w:rPr>
          <w:rFonts w:cs="Tahoma"/>
          <w:b/>
        </w:rPr>
        <w:t xml:space="preserve">History for this </w:t>
      </w:r>
      <w:r w:rsidR="00AE7E3E" w:rsidRPr="00944B09">
        <w:rPr>
          <w:rFonts w:cs="Tahoma"/>
          <w:b/>
          <w:bCs/>
        </w:rPr>
        <w:t>m</w:t>
      </w:r>
      <w:r w:rsidRPr="00944B09">
        <w:rPr>
          <w:rFonts w:cs="Tahoma"/>
          <w:b/>
          <w:bCs/>
        </w:rPr>
        <w:t xml:space="preserve">odel </w:t>
      </w:r>
      <w:r w:rsidR="00AE7E3E" w:rsidRPr="00944B09">
        <w:rPr>
          <w:rFonts w:cs="Tahoma"/>
          <w:b/>
          <w:bCs/>
        </w:rPr>
        <w:t>p</w:t>
      </w:r>
      <w:r w:rsidRPr="00944B09">
        <w:rPr>
          <w:rFonts w:cs="Tahoma"/>
          <w:b/>
          <w:bCs/>
        </w:rPr>
        <w:t>olicy:</w:t>
      </w:r>
      <w:r w:rsidR="00944B09">
        <w:rPr>
          <w:rFonts w:cs="Tahoma"/>
          <w:b/>
          <w:bCs/>
        </w:rPr>
        <w:br/>
      </w:r>
      <w:r>
        <w:t xml:space="preserve">First published: </w:t>
      </w:r>
      <w:r w:rsidR="00944B09">
        <w:t>05/11/2026 (draft)</w:t>
      </w:r>
      <w:r w:rsidR="00944B09">
        <w:rPr>
          <w:rFonts w:cs="Tahoma"/>
          <w:b/>
          <w:bCs/>
        </w:rPr>
        <w:br/>
      </w:r>
      <w:r>
        <w:t>Modified: N/A</w:t>
      </w:r>
    </w:p>
    <w:p w14:paraId="7DC06525" w14:textId="77777777" w:rsidR="00F66E33" w:rsidRDefault="00F66E33" w:rsidP="00D8640D">
      <w:r>
        <w:br w:type="page"/>
      </w:r>
    </w:p>
    <w:p w14:paraId="49BDAFC6" w14:textId="5864EFD6" w:rsidR="00F66E33" w:rsidRDefault="00F66E33" w:rsidP="00F66E33">
      <w:pPr>
        <w:pStyle w:val="Heading2"/>
      </w:pPr>
      <w:bookmarkStart w:id="7" w:name="_Toc226982633"/>
      <w:r>
        <w:t>Model Legislative Text</w:t>
      </w:r>
      <w:bookmarkEnd w:id="7"/>
    </w:p>
    <w:p w14:paraId="48798663" w14:textId="77777777" w:rsidR="00F66E33" w:rsidRDefault="00F66E33" w:rsidP="00F66E33">
      <w:pPr>
        <w:pStyle w:val="LegislativeText"/>
      </w:pPr>
      <w:r w:rsidRPr="28D6B40F">
        <w:t>WHEREAS the Medicare Savings Programs can save [state residents] thousands of dollars on health care expenses</w:t>
      </w:r>
      <w:r>
        <w:t>.</w:t>
      </w:r>
    </w:p>
    <w:p w14:paraId="2ACB8B27" w14:textId="77777777" w:rsidR="00F66E33" w:rsidRDefault="00F66E33" w:rsidP="00F66E33">
      <w:pPr>
        <w:pStyle w:val="LegislativeText"/>
      </w:pPr>
      <w:r w:rsidRPr="28D6B40F">
        <w:t>WHEREAS a substantial portion of eligible [state residents] have not yet enrolled in the Medicare Savings Programs</w:t>
      </w:r>
      <w:r>
        <w:t>.</w:t>
      </w:r>
    </w:p>
    <w:p w14:paraId="4C14A700" w14:textId="77777777" w:rsidR="00F66E33" w:rsidRDefault="00F66E33" w:rsidP="00F66E33">
      <w:pPr>
        <w:pStyle w:val="LegislativeText"/>
      </w:pPr>
      <w:r w:rsidRPr="28D6B40F">
        <w:t>WHEREAS eligibility for the Medicare Savings Programs is limited to individuals with low incomes</w:t>
      </w:r>
      <w:r>
        <w:t>.</w:t>
      </w:r>
    </w:p>
    <w:p w14:paraId="6D7E6788" w14:textId="77777777" w:rsidR="00F66E33" w:rsidRDefault="00F66E33" w:rsidP="00F66E33">
      <w:pPr>
        <w:pStyle w:val="LegislativeText"/>
      </w:pPr>
      <w:r w:rsidRPr="28D6B40F">
        <w:t>WHEREAS providing documentation of certain types of asset values is difficult for many older adults and people with disabilities and can prevent eligible individuals from successfully applying for benefits</w:t>
      </w:r>
      <w:r>
        <w:t>.</w:t>
      </w:r>
    </w:p>
    <w:p w14:paraId="0B25AEC1" w14:textId="77777777" w:rsidR="00F66E33" w:rsidRDefault="00F66E33" w:rsidP="00F66E33">
      <w:pPr>
        <w:pStyle w:val="LegislativeText"/>
      </w:pPr>
      <w:r w:rsidRPr="28D6B40F">
        <w:t xml:space="preserve">WHEREAS </w:t>
      </w:r>
      <w:r w:rsidRPr="30636FE6">
        <w:t>numerous other</w:t>
      </w:r>
      <w:r w:rsidRPr="28D6B40F">
        <w:t xml:space="preserve"> states have already simplified access to the Medicare Savings Programs by eliminating asset tests</w:t>
      </w:r>
      <w:r>
        <w:t>.</w:t>
      </w:r>
    </w:p>
    <w:p w14:paraId="0B0D31DA" w14:textId="77777777" w:rsidR="00F66E33" w:rsidRPr="00AD42CC" w:rsidRDefault="00F66E33" w:rsidP="00F66E33">
      <w:pPr>
        <w:pStyle w:val="LegislativeText"/>
      </w:pPr>
      <w:r w:rsidRPr="00AD42CC">
        <w:t xml:space="preserve">BE IT </w:t>
      </w:r>
      <w:r>
        <w:t>ENACTED</w:t>
      </w:r>
      <w:r w:rsidRPr="00AD42CC">
        <w:t xml:space="preserve"> that:</w:t>
      </w:r>
    </w:p>
    <w:p w14:paraId="2DC57230" w14:textId="77777777" w:rsidR="00F66E33" w:rsidRDefault="00F66E33" w:rsidP="00F66E33">
      <w:pPr>
        <w:pStyle w:val="LegislativeText"/>
      </w:pPr>
      <w:r w:rsidRPr="13B01520">
        <w:t>[</w:t>
      </w:r>
      <w:r>
        <w:t>A</w:t>
      </w:r>
      <w:r w:rsidRPr="13B01520">
        <w:t>gency or agency head] shall seek approval from the Centers for Medicare &amp; Medicaid Services as necessary to simplify enrollment in the Medicare Savings Programs for [state residents] by disregarding all countable assets for the purpose of establishing eligibility for the Qualified Medicare Beneficiary, Specified Low-Income Beneficiary, and Qualifying Individuals eligibility groups</w:t>
      </w:r>
      <w:r>
        <w:t>, effective no later than [date]</w:t>
      </w:r>
      <w:r w:rsidRPr="13B01520">
        <w:t xml:space="preserve">. </w:t>
      </w:r>
    </w:p>
    <w:p w14:paraId="2AF8FB95" w14:textId="77777777" w:rsidR="00F66E33" w:rsidRPr="006132D8" w:rsidRDefault="00F66E33" w:rsidP="00F66E33">
      <w:pPr>
        <w:pStyle w:val="LegislativeText"/>
      </w:pPr>
      <w:r w:rsidRPr="00D557AA">
        <w:t>Upon approval by the Centers for Medicare &amp; Medicaid Services of the change, [agency or agency head] shall</w:t>
      </w:r>
      <w:r>
        <w:t xml:space="preserve"> promptly</w:t>
      </w:r>
      <w:r w:rsidRPr="00D557AA">
        <w:t>:</w:t>
      </w:r>
    </w:p>
    <w:p w14:paraId="658C33B2" w14:textId="77777777" w:rsidR="00F951E0" w:rsidRPr="00F951E0" w:rsidRDefault="00F66E33" w:rsidP="00F951E0">
      <w:pPr>
        <w:pStyle w:val="Bullets"/>
        <w:rPr>
          <w:rFonts w:ascii="Times New Roman" w:hAnsi="Times New Roman" w:cs="Times New Roman"/>
        </w:rPr>
      </w:pPr>
      <w:r w:rsidRPr="00F951E0">
        <w:rPr>
          <w:rFonts w:ascii="Times New Roman" w:hAnsi="Times New Roman" w:cs="Times New Roman"/>
        </w:rPr>
        <w:t xml:space="preserve">Update state regulation, operational guidance, and eligibility and enrollment systems as necessary to implement the change, and </w:t>
      </w:r>
    </w:p>
    <w:p w14:paraId="026813CC" w14:textId="2E359C22" w:rsidR="00F66E33" w:rsidRPr="00F951E0" w:rsidRDefault="00F66E33" w:rsidP="00F951E0">
      <w:pPr>
        <w:pStyle w:val="Bullets"/>
        <w:rPr>
          <w:rFonts w:ascii="Times New Roman" w:hAnsi="Times New Roman" w:cs="Times New Roman"/>
        </w:rPr>
      </w:pPr>
      <w:r w:rsidRPr="00F951E0">
        <w:rPr>
          <w:rFonts w:ascii="Times New Roman" w:hAnsi="Times New Roman" w:cs="Times New Roman"/>
        </w:rPr>
        <w:t>Revise notices, forms, and other communications as needed to remove reference to the asset test as a Medicare Savings Program eligibility requirement.</w:t>
      </w:r>
    </w:p>
    <w:p w14:paraId="4CB7A997" w14:textId="77777777" w:rsidR="00F66E33" w:rsidRPr="00D557AA" w:rsidRDefault="00F66E33" w:rsidP="00F951E0">
      <w:pPr>
        <w:pStyle w:val="LegislativeText"/>
        <w:spacing w:after="120"/>
      </w:pPr>
      <w:r w:rsidRPr="00D557AA">
        <w:t xml:space="preserve">Nothing in this [legislation] is intended to require state expenditures that </w:t>
      </w:r>
      <w:r w:rsidRPr="3EC2661B">
        <w:t xml:space="preserve">could </w:t>
      </w:r>
      <w:r w:rsidRPr="00D557AA">
        <w:t>not be federally matched as part of the Medicaid program.</w:t>
      </w:r>
    </w:p>
    <w:p w14:paraId="081FC53D" w14:textId="77777777" w:rsidR="00F66E33" w:rsidRDefault="00F66E33" w:rsidP="00F66E33"/>
    <w:p w14:paraId="6254881A" w14:textId="6B98E77D" w:rsidR="00F66E33" w:rsidRDefault="00F66E33" w:rsidP="00F66E33">
      <w:r>
        <w:br w:type="page"/>
      </w:r>
    </w:p>
    <w:p w14:paraId="4BB466DD" w14:textId="4BD9E351" w:rsidR="005F5216" w:rsidRDefault="00AE78F4" w:rsidP="00AE78F4">
      <w:pPr>
        <w:pStyle w:val="Heading2"/>
      </w:pPr>
      <w:bookmarkStart w:id="8" w:name="_Toc226982634"/>
      <w:r>
        <w:t>Analysis</w:t>
      </w:r>
      <w:bookmarkEnd w:id="8"/>
    </w:p>
    <w:p w14:paraId="3B358F8B" w14:textId="77777777" w:rsidR="00AE78F4" w:rsidRPr="00F658E7" w:rsidRDefault="00AE78F4" w:rsidP="00AE78F4">
      <w:pPr>
        <w:pStyle w:val="Heading3"/>
        <w:rPr>
          <w:color w:val="000000"/>
        </w:rPr>
      </w:pPr>
      <w:r w:rsidRPr="470F163D">
        <w:t xml:space="preserve">Primary effects: </w:t>
      </w:r>
    </w:p>
    <w:p w14:paraId="5374D760" w14:textId="77777777" w:rsidR="00AE78F4" w:rsidRDefault="00AE78F4" w:rsidP="00AE78F4">
      <w:r w:rsidRPr="003C6C31">
        <w:rPr>
          <w:rStyle w:val="Emphasis"/>
        </w:rPr>
        <w:t>Make the application process easier.</w:t>
      </w:r>
      <w:r w:rsidRPr="00A32548">
        <w:t xml:space="preserve"> Gathering paperwork to verify the value of assets like certain life insurance,</w:t>
      </w:r>
      <w:r w:rsidRPr="00A32548" w:rsidDel="009D63ED">
        <w:t xml:space="preserve"> </w:t>
      </w:r>
      <w:r w:rsidRPr="00A32548">
        <w:t>farm equipment, and real property can take hours or even days, especially for people who lack comfort with modern technology or have cognitive impairments or limitations. This challenge may deter or prevent eligible individuals from applying.</w:t>
      </w:r>
      <w:r w:rsidRPr="2EC0A5E5">
        <w:rPr>
          <w:rStyle w:val="EndnoteReference"/>
          <w:rFonts w:ascii="Calibri" w:hAnsi="Calibri" w:cs="Calibri"/>
          <w:sz w:val="22"/>
          <w:szCs w:val="22"/>
        </w:rPr>
        <w:endnoteReference w:id="22"/>
      </w:r>
      <w:r w:rsidRPr="00A32548">
        <w:t xml:space="preserve"> For people who successfully enroll, the same process often repeats each year during the required annual renewal of eligibility. Eliminating the asset test would save significant time and paperwork for older adults and people with disabilities who are only applying for MSP enrollment.</w:t>
      </w:r>
      <w:r w:rsidRPr="2EC0A5E5">
        <w:rPr>
          <w:rStyle w:val="EndnoteReference"/>
          <w:rFonts w:ascii="Calibri" w:hAnsi="Calibri" w:cs="Calibri"/>
          <w:sz w:val="22"/>
          <w:szCs w:val="22"/>
        </w:rPr>
        <w:endnoteReference w:id="23"/>
      </w:r>
      <w:r w:rsidRPr="00A32548">
        <w:t xml:space="preserve"> While each person is different, we estimate that this policy would reduce the average time needed to complete each MSP application or renewal by four hours.</w:t>
      </w:r>
    </w:p>
    <w:p w14:paraId="5719854D" w14:textId="65825146" w:rsidR="00AE78F4" w:rsidRPr="00A32548" w:rsidRDefault="00AE78F4" w:rsidP="00AE78F4">
      <w:r w:rsidRPr="003C6C31">
        <w:rPr>
          <w:rStyle w:val="Emphasis"/>
        </w:rPr>
        <w:t>Help more eligible people get and keep benefits.</w:t>
      </w:r>
      <w:r w:rsidRPr="00A32548">
        <w:t xml:space="preserve"> </w:t>
      </w:r>
      <w:r w:rsidRPr="000E0093">
        <w:t>Some individuals previously over the asset limit would newly qualify for the MSPs. However, individuals meeting the income limits for MSPs usually have minimal assets.</w:t>
      </w:r>
      <w:r w:rsidRPr="000E0093">
        <w:rPr>
          <w:rStyle w:val="EndnoteReference"/>
          <w:rFonts w:ascii="Calibri" w:hAnsi="Calibri" w:cs="Calibri"/>
          <w:sz w:val="22"/>
          <w:szCs w:val="22"/>
        </w:rPr>
        <w:endnoteReference w:id="24"/>
      </w:r>
      <w:r w:rsidRPr="000E0093">
        <w:t xml:space="preserve"> Many do not apply or</w:t>
      </w:r>
      <w:r w:rsidRPr="000E0093" w:rsidDel="000E7AE5">
        <w:t xml:space="preserve"> </w:t>
      </w:r>
      <w:r w:rsidRPr="000E0093">
        <w:t>are denied because they cannot obtain the necessary documentation to verify their assets (or lack thereof) due to the difficulty it presents.</w:t>
      </w:r>
      <w:r w:rsidRPr="000E0093">
        <w:rPr>
          <w:rStyle w:val="EndnoteReference"/>
          <w:rFonts w:ascii="Calibri" w:hAnsi="Calibri" w:cs="Calibri"/>
          <w:sz w:val="22"/>
          <w:szCs w:val="22"/>
        </w:rPr>
        <w:endnoteReference w:id="25"/>
      </w:r>
      <w:r w:rsidRPr="000E0093">
        <w:t xml:space="preserve"> Therefore, eliminating the </w:t>
      </w:r>
      <w:r w:rsidRPr="00A32548">
        <w:t>asset test would enable more eligible individuals to qualify and retain benefits.</w:t>
      </w:r>
      <w:r>
        <w:rPr>
          <w:rStyle w:val="EndnoteReference"/>
          <w:rFonts w:ascii="Calibri" w:hAnsi="Calibri" w:cs="Calibri"/>
          <w:sz w:val="22"/>
          <w:szCs w:val="22"/>
        </w:rPr>
        <w:endnoteReference w:id="26"/>
      </w:r>
      <w:r w:rsidRPr="00A32548">
        <w:t xml:space="preserve"> Each state is unique, but we estimate that overall MSP enrollment would increase by about 2% 12 months after and 5% 24 months after removing the asset test. The Qualifying Individuals (QI) category, which is fully federally funded, would undergo the largest percentage increase (9% by month 12, 23% by month 24). We estimate that Qualified Medicare Beneficiary (QMB) and Specified Low-Income Medicare Beneficiary (SLMB) enrollment would rise by about 1% by month 12 and 3% by month 24. For more on our estimates, see the technical notes in this section. </w:t>
      </w:r>
    </w:p>
    <w:p w14:paraId="09DFBF9D" w14:textId="77777777" w:rsidR="00AE78F4" w:rsidRPr="00A32548" w:rsidRDefault="00AE78F4" w:rsidP="00AE78F4">
      <w:r w:rsidRPr="003C6C31">
        <w:rPr>
          <w:rStyle w:val="Emphasis"/>
        </w:rPr>
        <w:t>Improve access to treatment and save lives.</w:t>
      </w:r>
      <w:r w:rsidRPr="00A32548">
        <w:t xml:space="preserve"> The MSPs enable low-income Medicare beneficiaries to start treatment sooner</w:t>
      </w:r>
      <w:r w:rsidRPr="000240A6">
        <w:rPr>
          <w:rStyle w:val="EndnoteReference"/>
          <w:rFonts w:ascii="Calibri" w:hAnsi="Calibri" w:cs="Calibri"/>
          <w:sz w:val="22"/>
          <w:szCs w:val="22"/>
        </w:rPr>
        <w:endnoteReference w:id="27"/>
      </w:r>
      <w:r w:rsidRPr="00A32548">
        <w:t xml:space="preserve"> and better adhere to medical treatment.</w:t>
      </w:r>
      <w:r w:rsidRPr="000240A6">
        <w:rPr>
          <w:rStyle w:val="EndnoteReference"/>
          <w:rFonts w:ascii="Calibri" w:hAnsi="Calibri" w:cs="Calibri"/>
          <w:sz w:val="22"/>
          <w:szCs w:val="22"/>
        </w:rPr>
        <w:endnoteReference w:id="28"/>
      </w:r>
      <w:r w:rsidRPr="00A32548">
        <w:t xml:space="preserve"> New research links the loss of Medicaid coverage and, with it, Part D Extra Help, to higher death rates among low-income Medicare beneficiaries.</w:t>
      </w:r>
      <w:r w:rsidRPr="003C6C31">
        <w:rPr>
          <w:rStyle w:val="EndnoteReference"/>
          <w:rFonts w:ascii="Calibri" w:hAnsi="Calibri" w:cs="Calibri"/>
          <w:sz w:val="22"/>
          <w:szCs w:val="22"/>
        </w:rPr>
        <w:endnoteReference w:id="29"/>
      </w:r>
      <w:r w:rsidRPr="00A32548">
        <w:t xml:space="preserve"> The evidence suggests, therefore, that simplifying access to the MSPs would save lives.</w:t>
      </w:r>
    </w:p>
    <w:p w14:paraId="49EBB862" w14:textId="77777777" w:rsidR="00AE78F4" w:rsidRPr="00A32548" w:rsidRDefault="00AE78F4" w:rsidP="00AE78F4">
      <w:r w:rsidRPr="003C6C31">
        <w:rPr>
          <w:rStyle w:val="Emphasis"/>
        </w:rPr>
        <w:t>Reduce financial strain and support independence.</w:t>
      </w:r>
      <w:r w:rsidRPr="00A32548">
        <w:t xml:space="preserve"> The Medicare Part B premium ($202.90/month in 2026),</w:t>
      </w:r>
      <w:r w:rsidRPr="00A32548" w:rsidDel="00236A95">
        <w:t xml:space="preserve"> </w:t>
      </w:r>
      <w:r w:rsidRPr="00A32548">
        <w:t>usually withheld from Social Security checks, takes over 15% of the monthly income</w:t>
      </w:r>
      <w:r w:rsidRPr="00A32548" w:rsidDel="00BD5B89">
        <w:t xml:space="preserve"> </w:t>
      </w:r>
      <w:r w:rsidRPr="00A32548">
        <w:t>for those at or below the federal poverty level.</w:t>
      </w:r>
      <w:r w:rsidRPr="00A917E1">
        <w:rPr>
          <w:sz w:val="18"/>
          <w:szCs w:val="18"/>
          <w:vertAlign w:val="superscript"/>
        </w:rPr>
        <w:endnoteReference w:id="30"/>
      </w:r>
      <w:r w:rsidRPr="00A32548">
        <w:t xml:space="preserve"> Enrolling in an MSP stops this deduction, letting individuals keep more</w:t>
      </w:r>
      <w:r w:rsidRPr="00A32548" w:rsidDel="00F37A28">
        <w:t xml:space="preserve"> </w:t>
      </w:r>
      <w:r w:rsidRPr="00A32548">
        <w:t>income for essentials like food, rent, and utilities.</w:t>
      </w:r>
      <w:r w:rsidRPr="003C6C31">
        <w:rPr>
          <w:rStyle w:val="EndnoteReference"/>
          <w:rFonts w:ascii="Calibri" w:hAnsi="Calibri" w:cs="Calibri"/>
          <w:sz w:val="22"/>
          <w:szCs w:val="22"/>
        </w:rPr>
        <w:endnoteReference w:id="31"/>
      </w:r>
      <w:r w:rsidRPr="00A32548">
        <w:t xml:space="preserve"> While the main benefit of eliminating the asset test is reducing an administrative barrier to enrollment, it also enables people to qualify without depleting their limited assets. This allows people to save for unexpected expenses (e.g., car repairs or hiring a plumber to fix a leak) or essential costs (e.g., home or vehicle modifications and medical equipment not covered by Medicare), helping older adults and people with disabilities remain active and self-sufficient.</w:t>
      </w:r>
      <w:r w:rsidRPr="13B01520">
        <w:rPr>
          <w:rStyle w:val="EndnoteReference"/>
          <w:rFonts w:ascii="Calibri" w:hAnsi="Calibri" w:cs="Calibri"/>
          <w:sz w:val="22"/>
          <w:szCs w:val="22"/>
        </w:rPr>
        <w:endnoteReference w:id="32"/>
      </w:r>
      <w:r w:rsidRPr="00A32548">
        <w:t xml:space="preserve"> </w:t>
      </w:r>
    </w:p>
    <w:p w14:paraId="62070D3D" w14:textId="77777777" w:rsidR="00AE78F4" w:rsidRPr="00A32548" w:rsidRDefault="00AE78F4" w:rsidP="00AE78F4">
      <w:r w:rsidRPr="003C6C31">
        <w:rPr>
          <w:rStyle w:val="Emphasis"/>
        </w:rPr>
        <w:t>Reduce administrative burden and costs for states.</w:t>
      </w:r>
      <w:r w:rsidRPr="00A32548">
        <w:t xml:space="preserve"> Verifying assets is often time-consuming for the government eligibility workers who review MSP applications. Asset verification systems are intended to</w:t>
      </w:r>
      <w:r w:rsidRPr="00A32548" w:rsidDel="00465FFB">
        <w:t xml:space="preserve"> </w:t>
      </w:r>
      <w:r w:rsidRPr="00A32548">
        <w:t>minimize paperwork and speed up eligibility determinations. However, challenges persist, including non-participation by some financial institutions, slow responses, lack of data on assets like life insurance, and inaccurate or outdated information. Further, states must pay extra fees to access information on assets beyond bank accounts, such as real property. Eliminating the asset test would facilitate faster eligibility determinations and support automated annual renewals (“</w:t>
      </w:r>
      <w:r w:rsidRPr="003B2433">
        <w:rPr>
          <w:i/>
          <w:iCs/>
        </w:rPr>
        <w:t xml:space="preserve">ex </w:t>
      </w:r>
      <w:proofErr w:type="spellStart"/>
      <w:r w:rsidRPr="003B2433">
        <w:rPr>
          <w:i/>
          <w:iCs/>
        </w:rPr>
        <w:t>parte</w:t>
      </w:r>
      <w:proofErr w:type="spellEnd"/>
      <w:r w:rsidRPr="00A32548">
        <w:t xml:space="preserve"> renewals”), ultimately reducing administrative time and costs.</w:t>
      </w:r>
      <w:r w:rsidRPr="00FF21E4">
        <w:rPr>
          <w:rStyle w:val="EndnoteReference"/>
          <w:rFonts w:ascii="Calibri" w:hAnsi="Calibri" w:cs="Calibri"/>
          <w:sz w:val="22"/>
          <w:szCs w:val="22"/>
        </w:rPr>
        <w:endnoteReference w:id="33"/>
      </w:r>
      <w:r w:rsidRPr="00A32548">
        <w:t xml:space="preserve"> While processing times vary by state, we estimate this policy would reduce eligibility worker processing time for each MSP application or renewal by 1.5 hours. In most states, this would generate over $1 million in annual administrative savings. For more on our estimates, see the technical notes in this section.</w:t>
      </w:r>
    </w:p>
    <w:p w14:paraId="19F39238" w14:textId="77777777" w:rsidR="00AE78F4" w:rsidRPr="00A32548" w:rsidRDefault="00AE78F4" w:rsidP="00AE78F4">
      <w:r w:rsidRPr="003C6C31">
        <w:rPr>
          <w:rStyle w:val="Emphasis"/>
        </w:rPr>
        <w:t>Increase benefit costs for states</w:t>
      </w:r>
      <w:r w:rsidRPr="003C6C31" w:rsidDel="002B4DC3">
        <w:rPr>
          <w:rStyle w:val="Emphasis"/>
        </w:rPr>
        <w:t>.</w:t>
      </w:r>
      <w:r w:rsidRPr="00A32548">
        <w:t xml:space="preserve"> Expanding enrollment</w:t>
      </w:r>
      <w:r w:rsidRPr="00A32548" w:rsidDel="00222C4C">
        <w:t xml:space="preserve"> </w:t>
      </w:r>
      <w:r w:rsidRPr="00A32548">
        <w:t xml:space="preserve">would raise state spending on Medicare Part A and B premiums and cost sharing for QMBs and SLMBs. Each state’s circumstances are unique, but we estimate that the typical state’s spending on Medicare premiums and cost sharing for these MSP categories would increase by about 0.5% in the first full year of implementation and 3% by the end of the second year. At least half of the new costs would be federally funded </w:t>
      </w:r>
      <w:r w:rsidRPr="00677E3E">
        <w:t>at the standard FMAP rate</w:t>
      </w:r>
      <w:r w:rsidRPr="00A32548">
        <w:t>.</w:t>
      </w:r>
      <w:r w:rsidRPr="3F8911C3">
        <w:rPr>
          <w:rStyle w:val="EndnoteReference"/>
          <w:rFonts w:ascii="Calibri" w:hAnsi="Calibri" w:cs="Calibri"/>
          <w:sz w:val="22"/>
          <w:szCs w:val="22"/>
        </w:rPr>
        <w:endnoteReference w:id="34"/>
      </w:r>
      <w:r w:rsidRPr="00A32548">
        <w:t xml:space="preserve"> For more on our estimates, see the technical notes in this section.</w:t>
      </w:r>
    </w:p>
    <w:p w14:paraId="36C56A40" w14:textId="77777777" w:rsidR="00AE78F4" w:rsidRPr="00CA480F" w:rsidRDefault="00AE78F4" w:rsidP="00AE78F4">
      <w:pPr>
        <w:pStyle w:val="Heading3"/>
      </w:pPr>
      <w:r w:rsidRPr="005436EF">
        <w:t xml:space="preserve">Other marginal effects: </w:t>
      </w:r>
    </w:p>
    <w:p w14:paraId="1E0E81B8" w14:textId="12CEF269" w:rsidR="00AE78F4" w:rsidRPr="00A32548" w:rsidRDefault="00AE78F4" w:rsidP="00AE78F4">
      <w:r w:rsidRPr="003C6C31">
        <w:rPr>
          <w:rStyle w:val="Emphasis"/>
        </w:rPr>
        <w:t xml:space="preserve">Improve state performance on Medicaid eligibility-related metrics. </w:t>
      </w:r>
      <w:r w:rsidRPr="00A32548">
        <w:t>The federal government estimates state-specific Medicaid eligibility-related improper payment rates. Most of what the federal government considers to be eligibility-related improper payment is attributable to state maintenance of insufficient documentation to demonstrate the beneficiary was eligible for Medicaid, not fraud or covering services for ineligible people</w:t>
      </w:r>
      <w:r w:rsidRPr="003C6C31">
        <w:t>.</w:t>
      </w:r>
      <w:r w:rsidRPr="003C6C31">
        <w:rPr>
          <w:rStyle w:val="EndnoteReference"/>
          <w:rFonts w:ascii="Calibri" w:hAnsi="Calibri" w:cs="Calibri"/>
          <w:sz w:val="22"/>
          <w:szCs w:val="22"/>
        </w:rPr>
        <w:endnoteReference w:id="35"/>
      </w:r>
      <w:r w:rsidRPr="00A32548">
        <w:t xml:space="preserve"> </w:t>
      </w:r>
      <w:r w:rsidRPr="00677E3E">
        <w:t xml:space="preserve">For instance, if an eligibility worker doesn’t properly record beneficiary documents or electronic data used </w:t>
      </w:r>
      <w:r w:rsidRPr="00A32548">
        <w:t>to verify the value of assets, subsequent Medicaid payments may be deemed improper. New federal law would apply financial penalties to states with eligibility-related error rates over 3%.</w:t>
      </w:r>
      <w:r w:rsidRPr="00204644">
        <w:rPr>
          <w:rStyle w:val="EndnoteReference"/>
          <w:rFonts w:ascii="Calibri" w:hAnsi="Calibri" w:cs="Calibri"/>
          <w:sz w:val="22"/>
          <w:szCs w:val="22"/>
        </w:rPr>
        <w:endnoteReference w:id="36"/>
      </w:r>
      <w:r w:rsidRPr="00A32548">
        <w:t xml:space="preserve"> Under this model policy, states can reduce their risk of incurring these penalties because they would have fewer eligibility-related errors due to insufficient MSP asset documentation, as they would only need</w:t>
      </w:r>
      <w:r w:rsidRPr="00A32548" w:rsidDel="00276537">
        <w:t xml:space="preserve"> </w:t>
      </w:r>
      <w:r w:rsidRPr="00A32548">
        <w:t>to verify income eligibility.</w:t>
      </w:r>
      <w:r w:rsidRPr="003C6C31">
        <w:rPr>
          <w:rStyle w:val="EndnoteReference"/>
          <w:rFonts w:ascii="Calibri" w:hAnsi="Calibri" w:cs="Calibri"/>
          <w:sz w:val="22"/>
          <w:szCs w:val="22"/>
        </w:rPr>
        <w:t xml:space="preserve"> </w:t>
      </w:r>
    </w:p>
    <w:p w14:paraId="023481A7" w14:textId="26BFEBA5" w:rsidR="00AE78F4" w:rsidRPr="00A32548" w:rsidRDefault="00AE78F4" w:rsidP="00AE78F4">
      <w:r w:rsidRPr="003C6C31">
        <w:rPr>
          <w:rStyle w:val="Emphasis"/>
        </w:rPr>
        <w:t>Help avoid higher costs and coverage disruptions when beneficiaries in the adult Medicaid expansion group switch to Medicare.</w:t>
      </w:r>
      <w:r w:rsidRPr="003C6C31">
        <w:t xml:space="preserve"> </w:t>
      </w:r>
      <w:r w:rsidRPr="00677E3E">
        <w:t>Medicaid expansion doesn't include an asset test, but when people switch to Medicare as their primary insurer at age 65, in most states they must prove their assets for the first time to qualify for Medicaid coverage of their Medicare costs under the MSPs. Since this process is unfamiliar and can be challenging, eligible individuals may end up paying premiums and other costs themselves, causing worse health and economic outcomes.</w:t>
      </w:r>
      <w:r w:rsidRPr="00601521">
        <w:rPr>
          <w:rStyle w:val="EndnoteChar"/>
          <w:rFonts w:ascii="Calibri" w:hAnsi="Calibri" w:cs="Calibri"/>
          <w:sz w:val="22"/>
          <w:szCs w:val="22"/>
          <w:vertAlign w:val="superscript"/>
        </w:rPr>
        <w:endnoteReference w:id="37"/>
      </w:r>
      <w:r w:rsidR="003B2433" w:rsidRPr="00601521">
        <w:rPr>
          <w:rFonts w:ascii="Calibri" w:hAnsi="Calibri" w:cs="Calibri"/>
          <w:sz w:val="22"/>
          <w:szCs w:val="22"/>
        </w:rPr>
        <w:t xml:space="preserve"> </w:t>
      </w:r>
      <w:r w:rsidRPr="00677E3E">
        <w:t>Removing the asset test would help prevent people from being denied MSP eligibility for procedural reasons during the transition from Medicaid to Medicare.</w:t>
      </w:r>
    </w:p>
    <w:p w14:paraId="4EFBB690" w14:textId="77777777" w:rsidR="00AE78F4" w:rsidRPr="00A32548" w:rsidRDefault="00AE78F4" w:rsidP="00AE78F4">
      <w:r w:rsidRPr="003C6C31">
        <w:rPr>
          <w:rStyle w:val="Emphasis"/>
        </w:rPr>
        <w:t>Bring additional federal funding into state and local economies.</w:t>
      </w:r>
      <w:r w:rsidRPr="00A32548">
        <w:t xml:space="preserve"> Increasing QI enrollment brings more federal funding into state and local economies, as states receive 100% federal funding to cover Part B premiums for QIs, who then have higher purchasing power when Part B premiums are no longer deducted from their Social Security checks.</w:t>
      </w:r>
    </w:p>
    <w:p w14:paraId="37A0520E" w14:textId="77777777" w:rsidR="00AE78F4" w:rsidRPr="00A32548" w:rsidRDefault="00AE78F4" w:rsidP="00AE78F4">
      <w:r w:rsidRPr="003C6C31">
        <w:rPr>
          <w:rStyle w:val="Emphasis"/>
        </w:rPr>
        <w:t>Incur one-time state administrative costs.</w:t>
      </w:r>
      <w:r w:rsidRPr="00A32548">
        <w:t xml:space="preserve"> States would incur one-time costs to update eligibility systems, amend their State Medicaid Plan with the federal government, update related rules and guidance, and fulfill other administrative functions. </w:t>
      </w:r>
    </w:p>
    <w:p w14:paraId="5C625F62" w14:textId="77777777" w:rsidR="00AE78F4" w:rsidRPr="00A32548" w:rsidRDefault="00AE78F4" w:rsidP="00AE78F4">
      <w:r w:rsidRPr="003C6C31">
        <w:rPr>
          <w:rStyle w:val="Emphasis"/>
        </w:rPr>
        <w:t xml:space="preserve">Potentially </w:t>
      </w:r>
      <w:proofErr w:type="gramStart"/>
      <w:r w:rsidRPr="003C6C31">
        <w:rPr>
          <w:rStyle w:val="Emphasis"/>
        </w:rPr>
        <w:t>reduce</w:t>
      </w:r>
      <w:proofErr w:type="gramEnd"/>
      <w:r w:rsidRPr="003C6C31">
        <w:rPr>
          <w:rStyle w:val="Emphasis"/>
        </w:rPr>
        <w:t xml:space="preserve"> state Medicaid costs for long-term services and supports.</w:t>
      </w:r>
      <w:r w:rsidRPr="00A32548">
        <w:t xml:space="preserve"> Increasing enrollment in the MSPs would likely enable more low-income Medicare beneficiaries to access the health care and community-based services that can minimize state Medicaid costs for more expensive long-term services and supports in the future. However, empirical evidence supporting this effect is limited.</w:t>
      </w:r>
    </w:p>
    <w:p w14:paraId="2965A346" w14:textId="0138B27A" w:rsidR="00AE78F4" w:rsidRPr="00AE78F4" w:rsidRDefault="00AE78F4" w:rsidP="00AE78F4">
      <w:pPr>
        <w:pStyle w:val="Heading2"/>
        <w:rPr>
          <w:rStyle w:val="Emphasis"/>
          <w:b/>
          <w:bCs w:val="0"/>
        </w:rPr>
      </w:pPr>
      <w:bookmarkStart w:id="10" w:name="_Toc226982635"/>
      <w:r w:rsidRPr="00AE78F4">
        <w:rPr>
          <w:rStyle w:val="Emphasis"/>
          <w:b/>
          <w:bCs w:val="0"/>
        </w:rPr>
        <w:t>Questions and Answers</w:t>
      </w:r>
      <w:bookmarkEnd w:id="10"/>
    </w:p>
    <w:p w14:paraId="4C57EE43" w14:textId="2731CA12" w:rsidR="00677E3E" w:rsidRDefault="00097243" w:rsidP="00AE78F4">
      <w:r w:rsidRPr="004B7866">
        <w:rPr>
          <w:rStyle w:val="BlueEmphasisChar"/>
        </w:rPr>
        <mc:AlternateContent>
          <mc:Choice Requires="wps">
            <w:drawing>
              <wp:anchor distT="0" distB="0" distL="114300" distR="114300" simplePos="0" relativeHeight="251658262" behindDoc="1" locked="0" layoutInCell="1" allowOverlap="1" wp14:anchorId="74D4A4A9" wp14:editId="277CA9ED">
                <wp:simplePos x="0" y="0"/>
                <wp:positionH relativeFrom="margin">
                  <wp:posOffset>0</wp:posOffset>
                </wp:positionH>
                <wp:positionV relativeFrom="paragraph">
                  <wp:posOffset>1122045</wp:posOffset>
                </wp:positionV>
                <wp:extent cx="5918200" cy="1339850"/>
                <wp:effectExtent l="0" t="0" r="6350" b="0"/>
                <wp:wrapNone/>
                <wp:docPr id="1092621913" name="Rectangle: Rounded Corners 12"/>
                <wp:cNvGraphicFramePr/>
                <a:graphic xmlns:a="http://schemas.openxmlformats.org/drawingml/2006/main">
                  <a:graphicData uri="http://schemas.microsoft.com/office/word/2010/wordprocessingShape">
                    <wps:wsp>
                      <wps:cNvSpPr/>
                      <wps:spPr>
                        <a:xfrm>
                          <a:off x="0" y="0"/>
                          <a:ext cx="5918200" cy="133985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Rounded Corners 12" style="position:absolute;margin-left:0;margin-top:88.35pt;width:466pt;height:105.5pt;z-index:-2516582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386641 [3204]" stroked="f" strokeweight="1pt" arcsize="10923f" w14:anchorId="3ED7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">
                <v:stroke joinstyle="miter"/>
                <w10:wrap anchorx="margin"/>
              </v:roundrect>
            </w:pict>
          </mc:Fallback>
        </mc:AlternateContent>
      </w:r>
      <w:r w:rsidR="00AE78F4" w:rsidRPr="004B7866">
        <w:rPr>
          <w:rStyle w:val="BlueEmphasisChar"/>
        </w:rPr>
        <w:t>This seems so technical. How do we know this is a real issue for the people we serve?</w:t>
      </w:r>
      <w:r w:rsidR="00AE78F4" w:rsidRPr="00F5484A">
        <w:rPr>
          <w:b/>
        </w:rPr>
        <w:t xml:space="preserve"> </w:t>
      </w:r>
      <w:r w:rsidR="00AE78F4" w:rsidRPr="00F5484A">
        <w:t>For over two decades, advocates, researchers, and policymakers have cited the MSP asset test as a major barrier to enrollment for eligible beneficiaries. Interviews with beneficiaries, caregivers, and Medicare counselors reveal that the asset test can discourage eligible individuals from applying. As one older adult explained</w:t>
      </w:r>
      <w:r w:rsidR="00677E3E">
        <w:t>:</w:t>
      </w:r>
    </w:p>
    <w:p w14:paraId="651435CC" w14:textId="45FDA4B6" w:rsidR="00677E3E" w:rsidRPr="00097243" w:rsidRDefault="00AE78F4" w:rsidP="00097243">
      <w:pPr>
        <w:pStyle w:val="PullQuote"/>
        <w:spacing w:before="360"/>
        <w:rPr>
          <w:color w:val="FFFFFF" w:themeColor="background1"/>
        </w:rPr>
      </w:pPr>
      <w:r w:rsidRPr="00097243">
        <w:rPr>
          <w:color w:val="FFFFFF" w:themeColor="background1"/>
        </w:rPr>
        <w:t xml:space="preserve">“I think a great amount of this problem is … you feel kind </w:t>
      </w:r>
      <w:r w:rsidR="00097243" w:rsidRPr="00097243">
        <w:rPr>
          <w:color w:val="FFFFFF" w:themeColor="background1"/>
        </w:rPr>
        <w:br/>
      </w:r>
      <w:r w:rsidRPr="00097243">
        <w:rPr>
          <w:color w:val="FFFFFF" w:themeColor="background1"/>
        </w:rPr>
        <w:t xml:space="preserve">of alone in filling out the paperwork and it just really is so intimidating. It’s easy enough to just say, ‘Well, I’ll do it tomorrow or whatever,’ and you try again and </w:t>
      </w:r>
      <w:r w:rsidR="00097243" w:rsidRPr="00097243">
        <w:rPr>
          <w:color w:val="FFFFFF" w:themeColor="background1"/>
        </w:rPr>
        <w:br/>
      </w:r>
      <w:r w:rsidRPr="00097243">
        <w:rPr>
          <w:color w:val="FFFFFF" w:themeColor="background1"/>
        </w:rPr>
        <w:t>then you go, ‘forget it’.”</w:t>
      </w:r>
      <w:r w:rsidRPr="00097243">
        <w:rPr>
          <w:color w:val="FFFFFF" w:themeColor="background1"/>
          <w:sz w:val="18"/>
          <w:szCs w:val="18"/>
          <w:vertAlign w:val="superscript"/>
        </w:rPr>
        <w:endnoteReference w:id="38"/>
      </w:r>
      <w:r w:rsidRPr="00097243">
        <w:rPr>
          <w:color w:val="FFFFFF" w:themeColor="background1"/>
        </w:rPr>
        <w:t xml:space="preserve"> </w:t>
      </w:r>
    </w:p>
    <w:p w14:paraId="3885FF49" w14:textId="2C04D6F3" w:rsidR="00AE78F4" w:rsidRPr="00F5484A" w:rsidRDefault="00AE78F4" w:rsidP="00AE78F4">
      <w:r w:rsidRPr="00F5484A">
        <w:t>Thirteen states and the District of Columbia eliminated the asset test to reduce these obstacles.</w:t>
      </w:r>
    </w:p>
    <w:p w14:paraId="0BC2C21F" w14:textId="77777777" w:rsidR="00AE78F4" w:rsidRPr="00F5484A" w:rsidRDefault="00AE78F4" w:rsidP="00AE78F4">
      <w:r w:rsidRPr="004B7866">
        <w:rPr>
          <w:rStyle w:val="BlueEmphasisChar"/>
        </w:rPr>
        <w:t>How do Medicare-related costs affect people?</w:t>
      </w:r>
      <w:r w:rsidRPr="00F5484A">
        <w:t xml:space="preserve"> Costs result in stress and foregone health care at an immense scale. Consider:</w:t>
      </w:r>
    </w:p>
    <w:p w14:paraId="3F093E23" w14:textId="77777777" w:rsidR="00AE78F4" w:rsidRPr="007F2C04" w:rsidRDefault="00AE78F4" w:rsidP="002743C0">
      <w:pPr>
        <w:pStyle w:val="Bullets"/>
      </w:pPr>
      <w:r w:rsidRPr="007F2C04">
        <w:t>36% of Medicare beneficiaries report delaying or going without health care services in the last year because of the cost.</w:t>
      </w:r>
      <w:r w:rsidRPr="00A45ACC">
        <w:rPr>
          <w:rStyle w:val="EndnoteReference"/>
          <w:rFonts w:ascii="Calibri" w:hAnsi="Calibri" w:cs="Calibri"/>
          <w:sz w:val="22"/>
          <w:szCs w:val="22"/>
        </w:rPr>
        <w:endnoteReference w:id="39"/>
      </w:r>
    </w:p>
    <w:p w14:paraId="4A328685" w14:textId="77777777" w:rsidR="00AE78F4" w:rsidRPr="007F2C04" w:rsidRDefault="00AE78F4" w:rsidP="002743C0">
      <w:pPr>
        <w:pStyle w:val="Bullets"/>
      </w:pPr>
      <w:r w:rsidRPr="007F2C04">
        <w:t>41% of callers to the Medicare Rights Center National Helpline had questions about Medicare affordability.</w:t>
      </w:r>
      <w:r w:rsidRPr="00A45ACC">
        <w:rPr>
          <w:rStyle w:val="EndnoteReference"/>
          <w:rFonts w:ascii="Calibri" w:hAnsi="Calibri" w:cs="Calibri"/>
          <w:sz w:val="22"/>
          <w:szCs w:val="22"/>
        </w:rPr>
        <w:endnoteReference w:id="40"/>
      </w:r>
    </w:p>
    <w:p w14:paraId="11518B1A" w14:textId="7E2E1D9A" w:rsidR="00AE78F4" w:rsidRPr="007F2C04" w:rsidRDefault="00AE78F4" w:rsidP="002743C0">
      <w:pPr>
        <w:pStyle w:val="Bullets"/>
      </w:pPr>
      <w:r w:rsidRPr="007F2C04">
        <w:t>Cost issues are especially acute for people with disabilities. More than one in three people with Medicare under age 65 with disabilities report they had a problem paying a medical bill in the past 12 months (35%), compared to one in ten (9%) of those 65 or older.</w:t>
      </w:r>
      <w:r w:rsidRPr="00A45ACC">
        <w:rPr>
          <w:rStyle w:val="EndnoteReference"/>
          <w:rFonts w:ascii="Calibri" w:hAnsi="Calibri" w:cs="Calibri"/>
          <w:sz w:val="22"/>
          <w:szCs w:val="22"/>
        </w:rPr>
        <w:endnoteReference w:id="41"/>
      </w:r>
    </w:p>
    <w:p w14:paraId="0052172D" w14:textId="77777777" w:rsidR="00AE78F4" w:rsidRPr="00F5484A" w:rsidRDefault="00AE78F4" w:rsidP="00AE78F4">
      <w:r w:rsidRPr="00F5484A">
        <w:t>The MSPs are the most direct, immediate, and impactful mechanisms for reducing costs for eligible Medicare beneficiaries.</w:t>
      </w:r>
    </w:p>
    <w:p w14:paraId="58466E44" w14:textId="77777777" w:rsidR="00AE78F4" w:rsidRPr="00F5484A" w:rsidRDefault="00AE78F4" w:rsidP="00AE78F4">
      <w:pPr>
        <w:rPr>
          <w:b/>
          <w:bCs/>
          <w:iCs/>
        </w:rPr>
      </w:pPr>
      <w:r w:rsidRPr="004B7866">
        <w:rPr>
          <w:rStyle w:val="BlueEmphasisChar"/>
        </w:rPr>
        <w:t>What makes this a good option for states?</w:t>
      </w:r>
      <w:r w:rsidRPr="00AE78F4">
        <w:rPr>
          <w:rStyle w:val="Emphasis"/>
        </w:rPr>
        <w:t xml:space="preserve"> </w:t>
      </w:r>
      <w:r w:rsidRPr="00F5484A">
        <w:t xml:space="preserve">This option addresses a major barrier to MSP enrollment and retention for eligible individuals, making it easier for </w:t>
      </w:r>
      <w:r w:rsidRPr="00F5484A">
        <w:rPr>
          <w:iCs/>
        </w:rPr>
        <w:t>older adults and people with disabilities</w:t>
      </w:r>
      <w:r w:rsidRPr="00F5484A">
        <w:t xml:space="preserve"> to enroll</w:t>
      </w:r>
      <w:r w:rsidRPr="00F5484A">
        <w:rPr>
          <w:iCs/>
        </w:rPr>
        <w:t xml:space="preserve">, while also </w:t>
      </w:r>
      <w:r w:rsidRPr="00F5484A">
        <w:t>reducing</w:t>
      </w:r>
      <w:r w:rsidRPr="00F5484A">
        <w:rPr>
          <w:iCs/>
        </w:rPr>
        <w:t xml:space="preserve"> </w:t>
      </w:r>
      <w:r w:rsidRPr="00F5484A">
        <w:t xml:space="preserve">administrative </w:t>
      </w:r>
      <w:r w:rsidRPr="00F5484A">
        <w:rPr>
          <w:iCs/>
        </w:rPr>
        <w:t>burdens for states.</w:t>
      </w:r>
    </w:p>
    <w:p w14:paraId="3E5947D9" w14:textId="2BBFEFB6" w:rsidR="00AE78F4" w:rsidRPr="00F5484A" w:rsidRDefault="00AE78F4" w:rsidP="00AE78F4">
      <w:pPr>
        <w:rPr>
          <w:u w:val="single"/>
        </w:rPr>
      </w:pPr>
      <w:r w:rsidRPr="004B7866">
        <w:rPr>
          <w:rStyle w:val="BlueEmphasisChar"/>
        </w:rPr>
        <w:t xml:space="preserve">Would this policy allow wealthy people to qualify for the MSPs? </w:t>
      </w:r>
      <w:r w:rsidRPr="00F5484A">
        <w:t>It’s improbable, as MSPs require very limited income to qualify, and individuals near the poverty level usually have few assets. Wealthier people often receive higher social security retirement income, and/or may earn interest and dividend income, often putting them over the MSP income limit.</w:t>
      </w:r>
    </w:p>
    <w:p w14:paraId="0F4FC3AF" w14:textId="03FA2584" w:rsidR="00AE78F4" w:rsidRPr="00F5484A" w:rsidRDefault="00AE78F4" w:rsidP="00AE78F4">
      <w:r w:rsidRPr="00944B84">
        <w:rPr>
          <w:rStyle w:val="BlueEmphasisChar"/>
        </w:rPr>
        <w:t>Can a state take more incremental steps to ease the asset test?</w:t>
      </w:r>
      <w:r w:rsidRPr="00AE78F4">
        <w:rPr>
          <w:rStyle w:val="Emphasis"/>
        </w:rPr>
        <w:t xml:space="preserve"> </w:t>
      </w:r>
      <w:r w:rsidRPr="00AE78F4">
        <w:t>Yes. States can use the same authorities under section 1902(r)(2) of the Social Security Act to disregard certain asset amounts (essentially increasing the asset limit above the federal level) or to disregard certain categories of assets, such as non-liquid assets or the cash value of life insurance. (</w:t>
      </w:r>
      <w:hyperlink w:anchor="_Simplify_Eligibility_by" w:history="1">
        <w:r w:rsidRPr="003B2433">
          <w:rPr>
            <w:rStyle w:val="Hyperlink"/>
          </w:rPr>
          <w:t>See the separate model policy</w:t>
        </w:r>
        <w:r w:rsidRPr="003B2433" w:rsidDel="00B56D82">
          <w:rPr>
            <w:rStyle w:val="Hyperlink"/>
          </w:rPr>
          <w:t xml:space="preserve"> </w:t>
        </w:r>
        <w:r w:rsidRPr="003B2433">
          <w:rPr>
            <w:rStyle w:val="Hyperlink"/>
          </w:rPr>
          <w:t>to simplify eligibility by disregarding the value of non-liquid assets.</w:t>
        </w:r>
      </w:hyperlink>
      <w:r w:rsidRPr="003B2433">
        <w:t>)</w:t>
      </w:r>
      <w:r w:rsidRPr="00AE78F4">
        <w:t xml:space="preserve"> </w:t>
      </w:r>
    </w:p>
    <w:p w14:paraId="23F83AE9" w14:textId="77777777" w:rsidR="00AE78F4" w:rsidRDefault="00AE78F4" w:rsidP="00AE78F4">
      <w:r w:rsidRPr="00944B84">
        <w:rPr>
          <w:rStyle w:val="BlueEmphasisChar"/>
        </w:rPr>
        <w:t>What steps would a state need to take to make this change?</w:t>
      </w:r>
      <w:r w:rsidRPr="00AE78F4">
        <w:rPr>
          <w:rStyle w:val="Emphasis"/>
        </w:rPr>
        <w:t xml:space="preserve"> </w:t>
      </w:r>
      <w:r w:rsidRPr="00B97F5E">
        <w:t>The change would likely require</w:t>
      </w:r>
      <w:r>
        <w:t xml:space="preserve"> </w:t>
      </w:r>
      <w:r w:rsidRPr="00CB4F7C">
        <w:t xml:space="preserve">short-term policy and operational </w:t>
      </w:r>
      <w:r>
        <w:t>steps</w:t>
      </w:r>
      <w:r w:rsidRPr="00CB4F7C">
        <w:t xml:space="preserve"> to </w:t>
      </w:r>
      <w:r>
        <w:t>communicate the changes to the public, update</w:t>
      </w:r>
      <w:r w:rsidRPr="00B97F5E">
        <w:t xml:space="preserve"> eligibility systems</w:t>
      </w:r>
      <w:r>
        <w:t xml:space="preserve">, amend the State Medicaid </w:t>
      </w:r>
      <w:r w:rsidRPr="00B97F5E">
        <w:t>Plan</w:t>
      </w:r>
      <w:r>
        <w:t>,</w:t>
      </w:r>
      <w:r w:rsidRPr="00B97F5E">
        <w:t xml:space="preserve"> </w:t>
      </w:r>
      <w:r>
        <w:t xml:space="preserve">and </w:t>
      </w:r>
      <w:r w:rsidRPr="00B97F5E">
        <w:t>updat</w:t>
      </w:r>
      <w:r>
        <w:t>e</w:t>
      </w:r>
      <w:r w:rsidRPr="00B97F5E">
        <w:t xml:space="preserve"> manuals</w:t>
      </w:r>
      <w:r>
        <w:t xml:space="preserve">, </w:t>
      </w:r>
      <w:r w:rsidRPr="00B97F5E">
        <w:t>related rules</w:t>
      </w:r>
      <w:r>
        <w:t xml:space="preserve">, and </w:t>
      </w:r>
      <w:r w:rsidRPr="00B97F5E">
        <w:t xml:space="preserve">guidance. </w:t>
      </w:r>
    </w:p>
    <w:p w14:paraId="5555693E" w14:textId="77777777" w:rsidR="00AE78F4" w:rsidRPr="004B6F15" w:rsidRDefault="00AE78F4" w:rsidP="00AE78F4">
      <w:r w:rsidRPr="00944B84">
        <w:rPr>
          <w:rStyle w:val="BlueEmphasisChar"/>
        </w:rPr>
        <w:t>Why does this model policy exclude the Qualified Disabled Working Individuals (QDWI) category?</w:t>
      </w:r>
      <w:r w:rsidRPr="5788A9A8">
        <w:rPr>
          <w:b/>
        </w:rPr>
        <w:t xml:space="preserve"> </w:t>
      </w:r>
      <w:r>
        <w:t>We omit QDWIs</w:t>
      </w:r>
      <w:r w:rsidRPr="007554C7">
        <w:t xml:space="preserve"> because, unlike other Medicare Savings Program categories, </w:t>
      </w:r>
      <w:r>
        <w:t>federal law does</w:t>
      </w:r>
      <w:r w:rsidRPr="007554C7">
        <w:t xml:space="preserve"> not permit </w:t>
      </w:r>
      <w:r>
        <w:t>states to</w:t>
      </w:r>
      <w:r w:rsidRPr="007554C7">
        <w:t xml:space="preserve"> disregard assets for QDWI</w:t>
      </w:r>
      <w:r>
        <w:t>s</w:t>
      </w:r>
      <w:r w:rsidRPr="007554C7">
        <w:t xml:space="preserve">. </w:t>
      </w:r>
      <w:r>
        <w:t>T</w:t>
      </w:r>
      <w:r w:rsidRPr="007554C7">
        <w:t xml:space="preserve">he policy </w:t>
      </w:r>
      <w:r>
        <w:t xml:space="preserve">includes the QMB, SLMB, and QI </w:t>
      </w:r>
      <w:r w:rsidRPr="007554C7">
        <w:t xml:space="preserve">categories </w:t>
      </w:r>
      <w:r>
        <w:t xml:space="preserve">because federal rules permit </w:t>
      </w:r>
      <w:r w:rsidRPr="007554C7">
        <w:t xml:space="preserve">asset disregards </w:t>
      </w:r>
      <w:r>
        <w:t>for these categories</w:t>
      </w:r>
      <w:r w:rsidRPr="007554C7">
        <w:t>.</w:t>
      </w:r>
    </w:p>
    <w:p w14:paraId="24510115" w14:textId="77777777" w:rsidR="00AE78F4" w:rsidRPr="00ED61E8" w:rsidRDefault="00AE78F4" w:rsidP="00AE78F4">
      <w:pPr>
        <w:rPr>
          <w:b/>
          <w:i/>
        </w:rPr>
      </w:pPr>
      <w:r w:rsidRPr="00944B84">
        <w:rPr>
          <w:rStyle w:val="BlueEmphasisChar"/>
        </w:rPr>
        <w:t>Would this change only apply to the MSPs and not other forms of Medicaid eligibility?</w:t>
      </w:r>
      <w:r w:rsidRPr="00AE78F4">
        <w:rPr>
          <w:rStyle w:val="Emphasis"/>
        </w:rPr>
        <w:t xml:space="preserve"> </w:t>
      </w:r>
      <w:r w:rsidRPr="28D6B40F">
        <w:t xml:space="preserve">This is a policy decision for each state. Our model legislation applies to the </w:t>
      </w:r>
      <w:r>
        <w:t xml:space="preserve">QMB, SLMB, and QI </w:t>
      </w:r>
      <w:r w:rsidRPr="28D6B40F">
        <w:t>eligibility groups, but a state can choose to apply the policy to other eligibility group</w:t>
      </w:r>
      <w:r>
        <w:t>s (although not QDWI).</w:t>
      </w:r>
      <w:r w:rsidRPr="28D6B40F">
        <w:t xml:space="preserve"> Applying the change only to the </w:t>
      </w:r>
      <w:r>
        <w:t>MSP</w:t>
      </w:r>
      <w:r w:rsidRPr="28D6B40F">
        <w:t xml:space="preserve"> eligibility groups costs less than </w:t>
      </w:r>
      <w:r>
        <w:t xml:space="preserve">also </w:t>
      </w:r>
      <w:r w:rsidRPr="28D6B40F">
        <w:t xml:space="preserve">applying </w:t>
      </w:r>
      <w:r>
        <w:t xml:space="preserve">it </w:t>
      </w:r>
      <w:r w:rsidRPr="28D6B40F">
        <w:t xml:space="preserve">to </w:t>
      </w:r>
      <w:r>
        <w:t xml:space="preserve">additional </w:t>
      </w:r>
      <w:r w:rsidRPr="28D6B40F">
        <w:t>Medicaid eligibility groups</w:t>
      </w:r>
      <w:r>
        <w:t xml:space="preserve"> </w:t>
      </w:r>
      <w:r w:rsidRPr="28D6B40F">
        <w:t>but benefits fewer people</w:t>
      </w:r>
      <w:r>
        <w:t>, an</w:t>
      </w:r>
      <w:r w:rsidRPr="28D6B40F">
        <w:t>d applicants would still need to document the value of their assets if they are seeking full Medicaid coverage.</w:t>
      </w:r>
    </w:p>
    <w:p w14:paraId="3A17A79D" w14:textId="03EB422A" w:rsidR="00AE78F4" w:rsidRDefault="00AE78F4">
      <w:pPr>
        <w:spacing w:after="160"/>
        <w:rPr>
          <w:rStyle w:val="Emphasis"/>
        </w:rPr>
      </w:pPr>
      <w:r>
        <w:rPr>
          <w:rStyle w:val="Emphasis"/>
        </w:rPr>
        <w:br w:type="page"/>
      </w:r>
    </w:p>
    <w:p w14:paraId="48CD9768" w14:textId="77777777" w:rsidR="00280384" w:rsidRDefault="00280384" w:rsidP="00B972B6">
      <w:pPr>
        <w:pStyle w:val="TechnicalAppendixHeader"/>
        <w:sectPr w:rsidR="00280384" w:rsidSect="00BC71B3">
          <w:footerReference w:type="default" r:id="rId39"/>
          <w:endnotePr>
            <w:numFmt w:val="decimal"/>
          </w:endnotePr>
          <w:pgSz w:w="12240" w:h="15840"/>
          <w:pgMar w:top="1440" w:right="1440" w:bottom="1440" w:left="1440" w:header="720" w:footer="432" w:gutter="0"/>
          <w:cols w:space="720"/>
          <w:docGrid w:linePitch="360"/>
        </w:sectPr>
      </w:pPr>
      <w:bookmarkStart w:id="11" w:name="_Toc226982636"/>
    </w:p>
    <w:p w14:paraId="3794DBE8" w14:textId="36C748E0" w:rsidR="00AE78F4" w:rsidRPr="00A15597" w:rsidRDefault="00AE78F4" w:rsidP="006A481A">
      <w:pPr>
        <w:pStyle w:val="TechnicalAppendixHeader"/>
      </w:pPr>
      <w:r w:rsidRPr="00A15597">
        <w:t>Model policy appendix: Technical notes on quantifying impacts</w:t>
      </w:r>
      <w:bookmarkEnd w:id="11"/>
      <w:r w:rsidRPr="00A15597">
        <w:t xml:space="preserve"> </w:t>
      </w:r>
    </w:p>
    <w:p w14:paraId="7941885F" w14:textId="77777777" w:rsidR="00AE78F4" w:rsidRPr="000240A6" w:rsidRDefault="00AE78F4" w:rsidP="00AE78F4">
      <w:pPr>
        <w:pStyle w:val="TechnicalAppendixText"/>
      </w:pPr>
      <w:r w:rsidRPr="000240A6">
        <w:t xml:space="preserve">There is a modest body of evidence </w:t>
      </w:r>
      <w:r>
        <w:t xml:space="preserve">related </w:t>
      </w:r>
      <w:r w:rsidRPr="000240A6">
        <w:t>to this model policy. In this appendix, we discuss the evidence base and ways for state analysts to project state-specific impacts from this model policy.</w:t>
      </w:r>
    </w:p>
    <w:p w14:paraId="0E7D1EE3" w14:textId="1F15D5B7" w:rsidR="00AE78F4" w:rsidRPr="000240A6" w:rsidRDefault="00AE78F4" w:rsidP="00AE78F4">
      <w:pPr>
        <w:pStyle w:val="TechnicalAppendixText"/>
      </w:pPr>
      <w:r w:rsidRPr="000240A6">
        <w:t xml:space="preserve">Each state has a unique starting point. Therefore, the impacts of eliminating the asset test for the MSPs will vary by state, even after adjusting for differences in population. Nonetheless, we </w:t>
      </w:r>
      <w:r>
        <w:t xml:space="preserve">illustrate </w:t>
      </w:r>
      <w:r w:rsidRPr="000240A6">
        <w:t>below the types and approximate scope of impacts on MSP enrollment, state benefit costs, and administrative burdens for states and MSP applicants.</w:t>
      </w:r>
      <w:r w:rsidRPr="000240A6">
        <w:rPr>
          <w:i/>
        </w:rPr>
        <w:t xml:space="preserve"> </w:t>
      </w:r>
    </w:p>
    <w:p w14:paraId="0B9C1964" w14:textId="77777777" w:rsidR="00AE78F4" w:rsidRPr="00AE78F4" w:rsidRDefault="00AE78F4" w:rsidP="00E24E76">
      <w:pPr>
        <w:pStyle w:val="TechnicalAppendixHeader"/>
        <w:rPr>
          <w:b w:val="0"/>
          <w:bCs/>
          <w:iCs w:val="0"/>
        </w:rPr>
      </w:pPr>
      <w:r w:rsidRPr="00AE78F4">
        <w:t>Enrollment impacts</w:t>
      </w:r>
    </w:p>
    <w:p w14:paraId="12F9A75B" w14:textId="77777777" w:rsidR="00AE78F4" w:rsidRPr="000240A6" w:rsidRDefault="00AE78F4" w:rsidP="00AE78F4">
      <w:pPr>
        <w:pStyle w:val="TechnicalAppendixText"/>
      </w:pPr>
      <w:r w:rsidRPr="5788A9A8" w:rsidDel="007F4ABC">
        <w:t>W</w:t>
      </w:r>
      <w:r w:rsidRPr="5788A9A8">
        <w:t xml:space="preserve">e estimate that, on average, eliminating the asset test for the MSPs would increase total MSP enrollment by an average of about 2% by month 12 and 5% by month 24 after eliminating the asset test. However, we expect the enrollment effects to vary by eligibility group. </w:t>
      </w:r>
      <w:r>
        <w:t>We estimate that t</w:t>
      </w:r>
      <w:r w:rsidRPr="5788A9A8">
        <w:t>he largest impact (in percentage terms) would be on QI enrollment (9% by month 12, 23% by month 24).</w:t>
      </w:r>
      <w:r>
        <w:t xml:space="preserve"> We estimate that e</w:t>
      </w:r>
      <w:r w:rsidRPr="5788A9A8">
        <w:t>nrollment in QMB and SLMB would increase by about 1% by month 12 and 3% by month 24.</w:t>
      </w:r>
    </w:p>
    <w:p w14:paraId="2DCB1F2A" w14:textId="77777777" w:rsidR="00AE78F4" w:rsidRPr="000240A6" w:rsidRDefault="00AE78F4" w:rsidP="00AE78F4">
      <w:pPr>
        <w:pStyle w:val="TechnicalAppendixText"/>
      </w:pPr>
      <w:r>
        <w:t>Our estimates stem from independent analysis of</w:t>
      </w:r>
      <w:r w:rsidRPr="5788A9A8">
        <w:t xml:space="preserve"> CMS administrative data</w:t>
      </w:r>
      <w:r>
        <w:rPr>
          <w:rStyle w:val="EndnoteReference"/>
          <w:rFonts w:ascii="Calibri" w:hAnsi="Calibri" w:cs="Calibri"/>
          <w:sz w:val="22"/>
          <w:szCs w:val="22"/>
        </w:rPr>
        <w:endnoteReference w:id="42"/>
      </w:r>
      <w:r w:rsidRPr="5788A9A8">
        <w:t xml:space="preserve"> on MSP enrollment in three states (Louisiana, Oregon, and Washington) that eliminated the MSP asset test in 2019, 2016, and 2023, respectively. We chose these three states because they eliminated the asset test relatively recently and had not adopted other MSP eligibility expansions, such as increasing the MSP income limits, during the same period that might confound the results.</w:t>
      </w:r>
    </w:p>
    <w:p w14:paraId="51E1AFC6" w14:textId="10DA6EDA" w:rsidR="00AE78F4" w:rsidRPr="000240A6" w:rsidRDefault="00AE78F4" w:rsidP="00AE78F4">
      <w:pPr>
        <w:pStyle w:val="TechnicalAppendixText"/>
      </w:pPr>
      <w:r>
        <w:t xml:space="preserve">We compared our results to </w:t>
      </w:r>
      <w:r w:rsidRPr="000240A6">
        <w:t xml:space="preserve">previously published analysis from the AARP Public Policy Institute (PPI) and Mathematica. </w:t>
      </w:r>
      <w:r>
        <w:t>That</w:t>
      </w:r>
      <w:r w:rsidRPr="000240A6">
        <w:t xml:space="preserve"> analysis compared MSP enrollment changes in Louisiana and Oregon after elimination of the asset test relative to prior state enrollment trends, projected forward over the same period. (In contrast, our analysis compared post-policy enrollment to national enrollment changes during the same period.) The AARP</w:t>
      </w:r>
      <w:r>
        <w:t>/Mathematica</w:t>
      </w:r>
      <w:r w:rsidRPr="000240A6">
        <w:t xml:space="preserve"> analysis</w:t>
      </w:r>
      <w:r w:rsidRPr="000240A6" w:rsidDel="001644AA">
        <w:t xml:space="preserve"> </w:t>
      </w:r>
      <w:r w:rsidRPr="000240A6">
        <w:t xml:space="preserve">concluded that MSP enrollment initially </w:t>
      </w:r>
      <w:r w:rsidRPr="000240A6">
        <w:rPr>
          <w:i/>
        </w:rPr>
        <w:t>declined</w:t>
      </w:r>
      <w:r w:rsidR="00B10427" w:rsidRPr="000240A6">
        <w:t xml:space="preserve"> </w:t>
      </w:r>
      <w:r w:rsidR="00B10427" w:rsidRPr="00B10427">
        <w:rPr>
          <w:iCs/>
        </w:rPr>
        <w:t>i</w:t>
      </w:r>
      <w:r w:rsidRPr="000240A6">
        <w:t>n both states after implementation but began steadily increasing in year two. Enrollment rose by 14% in Louisiana after three years and by 10% in Oregon after six years, relative to earlier trends.</w:t>
      </w:r>
      <w:r w:rsidRPr="000240A6">
        <w:rPr>
          <w:rStyle w:val="EndnoteReference"/>
          <w:rFonts w:ascii="Calibri" w:hAnsi="Calibri" w:cs="Calibri"/>
          <w:sz w:val="22"/>
          <w:szCs w:val="22"/>
        </w:rPr>
        <w:endnoteReference w:id="43"/>
      </w:r>
    </w:p>
    <w:p w14:paraId="436107FF" w14:textId="77777777" w:rsidR="00AE78F4" w:rsidRPr="000240A6" w:rsidRDefault="00AE78F4" w:rsidP="00AE78F4">
      <w:pPr>
        <w:pStyle w:val="TechnicalAppendixText"/>
        <w:rPr>
          <w:i/>
        </w:rPr>
      </w:pPr>
      <w:r>
        <w:t>Both</w:t>
      </w:r>
      <w:r w:rsidRPr="5788A9A8">
        <w:t xml:space="preserve"> sources generally support our conclusion that increases in enrollment would be small in the first two years after eliminating the asset test for MSPs. The AARP</w:t>
      </w:r>
      <w:r>
        <w:t>/Mathematica</w:t>
      </w:r>
      <w:r w:rsidRPr="5788A9A8">
        <w:t xml:space="preserve"> report conclude</w:t>
      </w:r>
      <w:r>
        <w:t>d</w:t>
      </w:r>
      <w:r w:rsidRPr="5788A9A8">
        <w:t xml:space="preserve"> that enrollment effects further increase over time. This is directionally plausible, although the methodology deployed in the AARP analysis should be taken with caution over a longer time horizon, since it rests on increasingly lengthy projections from pre-policy trends.</w:t>
      </w:r>
    </w:p>
    <w:p w14:paraId="75E7BD9F" w14:textId="77777777" w:rsidR="00A85C08" w:rsidRDefault="00A85C08" w:rsidP="00AE78F4">
      <w:pPr>
        <w:pStyle w:val="TechnicalAppendixText"/>
        <w:rPr>
          <w:b/>
          <w:bCs/>
          <w:iCs/>
        </w:rPr>
      </w:pPr>
    </w:p>
    <w:p w14:paraId="533D2ACD" w14:textId="0246EC66" w:rsidR="00AE78F4" w:rsidRPr="00AE78F4" w:rsidRDefault="00AE78F4" w:rsidP="00E24E76">
      <w:pPr>
        <w:pStyle w:val="TechnicalAppendixHeader"/>
        <w:rPr>
          <w:b w:val="0"/>
          <w:bCs/>
          <w:iCs w:val="0"/>
        </w:rPr>
      </w:pPr>
      <w:r w:rsidRPr="00AE78F4">
        <w:t xml:space="preserve">Benefit costs for states </w:t>
      </w:r>
    </w:p>
    <w:p w14:paraId="4D753225" w14:textId="77777777" w:rsidR="00AE78F4" w:rsidRDefault="00AE78F4" w:rsidP="00AE78F4">
      <w:pPr>
        <w:pStyle w:val="TechnicalAppendixText"/>
      </w:pPr>
      <w:r w:rsidRPr="5788A9A8">
        <w:t>The cost implications diverge from the enrollment effects in year one</w:t>
      </w:r>
      <w:r>
        <w:t xml:space="preserve"> for two reasons</w:t>
      </w:r>
      <w:r w:rsidRPr="5788A9A8">
        <w:t>.</w:t>
      </w:r>
      <w:r>
        <w:t xml:space="preserve"> First, enrollment effects are greatest (in percentage terms) for the QI category, which </w:t>
      </w:r>
      <w:r w:rsidRPr="5788A9A8">
        <w:t>is 100% federally funded</w:t>
      </w:r>
      <w:r>
        <w:t>. Therefore, there are no new state benefit costs for the QI category.</w:t>
      </w:r>
      <w:r w:rsidRPr="5788A9A8">
        <w:t xml:space="preserve"> </w:t>
      </w:r>
    </w:p>
    <w:p w14:paraId="503F9400" w14:textId="06DC06A6" w:rsidR="00AE78F4" w:rsidRPr="000240A6" w:rsidRDefault="00AE78F4" w:rsidP="00AE78F4">
      <w:pPr>
        <w:pStyle w:val="TechnicalAppendixText"/>
      </w:pPr>
      <w:r>
        <w:t>Second, w</w:t>
      </w:r>
      <w:r w:rsidRPr="5788A9A8">
        <w:t>e expect any increases in enrollment from eliminating the asset test to be evenly spread across the year</w:t>
      </w:r>
      <w:r>
        <w:t xml:space="preserve"> </w:t>
      </w:r>
      <w:r w:rsidRPr="00BF4E15">
        <w:t xml:space="preserve">because individuals apply and are determined eligible on </w:t>
      </w:r>
      <w:r w:rsidR="008905F4">
        <w:t xml:space="preserve">a </w:t>
      </w:r>
      <w:r>
        <w:t xml:space="preserve">rolling </w:t>
      </w:r>
      <w:r w:rsidRPr="00BF4E15">
        <w:t>basis throughout the yea</w:t>
      </w:r>
      <w:r>
        <w:t>r</w:t>
      </w:r>
      <w:r w:rsidRPr="5788A9A8">
        <w:t xml:space="preserve">. As such, new enrollment attributable to the elimination of the asset test would have an average span of MSP enrollment that is less than six months in year one, or roughly half of the length of enrollment of other MSP beneficiaries in the same year. Therefore, we expect that a state’s total share of Medicaid expenditures for Medicare premiums and cost sharing for QMBs and SLMBs would grow by about </w:t>
      </w:r>
      <w:r>
        <w:t>0.5</w:t>
      </w:r>
      <w:r w:rsidRPr="5788A9A8">
        <w:t xml:space="preserve">% in year one, about half of the percentage increase in </w:t>
      </w:r>
      <w:r>
        <w:t xml:space="preserve">QMB and SLMB </w:t>
      </w:r>
      <w:r w:rsidRPr="5788A9A8">
        <w:t xml:space="preserve">enrollment by the end of the year. This effect diminishes in future years, when costs would more closely reflect enrollment patterns. </w:t>
      </w:r>
    </w:p>
    <w:p w14:paraId="36E0BFE6" w14:textId="77777777" w:rsidR="00AE78F4" w:rsidRPr="000240A6" w:rsidRDefault="00AE78F4" w:rsidP="00AE78F4">
      <w:pPr>
        <w:pStyle w:val="TechnicalAppendixText"/>
      </w:pPr>
      <w:r w:rsidRPr="000240A6">
        <w:t>Budget analysts should consider several variables when projecting benefit costs in individual states, including: </w:t>
      </w:r>
    </w:p>
    <w:p w14:paraId="672E99B8" w14:textId="77777777" w:rsidR="00AE78F4" w:rsidRPr="000240A6" w:rsidRDefault="00AE78F4" w:rsidP="00142C0A">
      <w:pPr>
        <w:pStyle w:val="TechnicalAppendixText"/>
        <w:numPr>
          <w:ilvl w:val="0"/>
          <w:numId w:val="2"/>
        </w:numPr>
        <w:spacing w:after="180"/>
        <w:ind w:left="360"/>
      </w:pPr>
      <w:r w:rsidRPr="000240A6">
        <w:t>Their state’s standard FMAP rate, which determines the state and federal share of expenditures for Medicare Part A and B premiums and cost sharing for QMBs and Part B premiums for SLMBs.</w:t>
      </w:r>
      <w:r>
        <w:t xml:space="preserve"> (QI is 100% federally funded in all states.)</w:t>
      </w:r>
    </w:p>
    <w:p w14:paraId="01CC0668" w14:textId="77777777" w:rsidR="00AE78F4" w:rsidRPr="000240A6" w:rsidRDefault="00AE78F4" w:rsidP="00142C0A">
      <w:pPr>
        <w:pStyle w:val="TechnicalAppendixText"/>
        <w:numPr>
          <w:ilvl w:val="0"/>
          <w:numId w:val="2"/>
        </w:numPr>
        <w:spacing w:after="180"/>
        <w:ind w:left="360"/>
      </w:pPr>
      <w:r w:rsidRPr="000240A6">
        <w:t xml:space="preserve">The start date for a policy change may significantly affect the budget effects for the first state fiscal year. The fiscal impact for the state fiscal year is significantly lower if the policy change occurs midway through the fiscal year.  </w:t>
      </w:r>
    </w:p>
    <w:p w14:paraId="0B1E801A" w14:textId="77777777" w:rsidR="00AE78F4" w:rsidRPr="000240A6" w:rsidRDefault="00AE78F4" w:rsidP="00142C0A">
      <w:pPr>
        <w:pStyle w:val="TechnicalAppendixText"/>
        <w:numPr>
          <w:ilvl w:val="0"/>
          <w:numId w:val="2"/>
        </w:numPr>
        <w:spacing w:after="180"/>
        <w:ind w:left="360"/>
      </w:pPr>
      <w:r w:rsidRPr="000240A6">
        <w:t>States that choose to (a) concurrently expand income-related eligibility standards for the MSPs and/or (b) also eliminate asset limits for full-benefit Medicaid will experience greater increases in enrollment and costs than by just removing the MSP asset test alone. </w:t>
      </w:r>
    </w:p>
    <w:p w14:paraId="277ECFCA" w14:textId="77777777" w:rsidR="00AE78F4" w:rsidRPr="00AE78F4" w:rsidRDefault="00AE78F4" w:rsidP="00E24E76">
      <w:pPr>
        <w:pStyle w:val="TechnicalAppendixHeader"/>
        <w:rPr>
          <w:b w:val="0"/>
          <w:bCs/>
          <w:iCs w:val="0"/>
        </w:rPr>
      </w:pPr>
      <w:r w:rsidRPr="00AE78F4">
        <w:t xml:space="preserve">Administrative savings for states </w:t>
      </w:r>
    </w:p>
    <w:p w14:paraId="6E3B0A4D" w14:textId="77777777" w:rsidR="00AE78F4" w:rsidRPr="000240A6" w:rsidRDefault="00AE78F4" w:rsidP="00AE78F4">
      <w:pPr>
        <w:pStyle w:val="TechnicalAppendixText"/>
      </w:pPr>
      <w:r w:rsidRPr="000240A6">
        <w:t xml:space="preserve">Changes in administrative burden associated with this model policy depend on state deployment of an application specific to MSP enrollment (an MSP-only application). Numerous states have created MSP-only application forms, and these can be paper or electronic. These applications are usually much shorter and simpler than applications for other Medicaid </w:t>
      </w:r>
      <w:r>
        <w:t xml:space="preserve">eligibility categories </w:t>
      </w:r>
      <w:r w:rsidRPr="000240A6">
        <w:t xml:space="preserve">for older adults or people with disabilities. Other states only offer a standard application process for all </w:t>
      </w:r>
      <w:r>
        <w:t>types</w:t>
      </w:r>
      <w:r w:rsidRPr="000240A6">
        <w:t xml:space="preserve"> of Medicaid, including the MSPs. In the latter circumstance, the application would still ask for information on assets, because even states that disregard assets for MSP enrollment still apply asset tests for other forms of Medicaid coverage for people on Medicare. </w:t>
      </w:r>
    </w:p>
    <w:p w14:paraId="2E06053D" w14:textId="77777777" w:rsidR="00AE78F4" w:rsidRPr="000240A6" w:rsidRDefault="00AE78F4" w:rsidP="00AE78F4">
      <w:pPr>
        <w:pStyle w:val="TechnicalAppendixText"/>
      </w:pPr>
      <w:r w:rsidRPr="000240A6">
        <w:t>Any state can choose to offer an MSP-only application process, although states that have not already done so would incur one-time administrative costs.</w:t>
      </w:r>
      <w:r w:rsidRPr="000240A6">
        <w:rPr>
          <w:rStyle w:val="EndnoteReference"/>
          <w:rFonts w:ascii="Calibri" w:hAnsi="Calibri" w:cs="Calibri"/>
          <w:sz w:val="22"/>
          <w:szCs w:val="22"/>
        </w:rPr>
        <w:endnoteReference w:id="44"/>
      </w:r>
      <w:r w:rsidRPr="000240A6">
        <w:t xml:space="preserve"> The analysis and examples below apply in states with MSP-only application processes.</w:t>
      </w:r>
    </w:p>
    <w:p w14:paraId="04CA28F2" w14:textId="77777777" w:rsidR="00AE78F4" w:rsidRPr="000240A6" w:rsidRDefault="00AE78F4" w:rsidP="00AE78F4">
      <w:pPr>
        <w:pStyle w:val="TechnicalAppendixText"/>
      </w:pPr>
      <w:r w:rsidRPr="000240A6">
        <w:t>Initially, all states would incur one-time expenses when implementing this policy, including to update eligibility systems and, in some states, remove asset-related questions from MSP-specific application forms.</w:t>
      </w:r>
      <w:r w:rsidRPr="000240A6">
        <w:rPr>
          <w:rStyle w:val="EndnoteReference"/>
          <w:rFonts w:ascii="Calibri" w:hAnsi="Calibri" w:cs="Calibri"/>
          <w:sz w:val="22"/>
          <w:szCs w:val="22"/>
        </w:rPr>
        <w:endnoteReference w:id="45"/>
      </w:r>
      <w:r w:rsidRPr="000240A6">
        <w:t xml:space="preserve"> Over time, we expect substantial administrative savings from reducing state burden and other costs, as described below. </w:t>
      </w:r>
    </w:p>
    <w:p w14:paraId="1821EFE9" w14:textId="77777777" w:rsidR="00AE78F4" w:rsidRPr="000240A6" w:rsidRDefault="00AE78F4" w:rsidP="00AE78F4">
      <w:pPr>
        <w:pStyle w:val="TechnicalAppendixText"/>
        <w:rPr>
          <w:color w:val="000000"/>
        </w:rPr>
      </w:pPr>
      <w:r w:rsidRPr="000240A6">
        <w:t>State burden reduction: Based on prior federal estimates regarding state burden associated with MSP application processes,</w:t>
      </w:r>
      <w:r w:rsidRPr="000240A6">
        <w:rPr>
          <w:rStyle w:val="EndnoteReference"/>
          <w:rFonts w:ascii="Calibri" w:hAnsi="Calibri" w:cs="Calibri"/>
          <w:sz w:val="22"/>
          <w:szCs w:val="22"/>
        </w:rPr>
        <w:endnoteReference w:id="46"/>
      </w:r>
      <w:r w:rsidRPr="000240A6">
        <w:t xml:space="preserve"> we estimate that, on average, this policy would save state eligibility workers 1.5 hours per MSP-only application (or annual eligibility renewal) by eliminating asset verification tasks (e.g., reviewing documents, checking electronic data, contacting </w:t>
      </w:r>
      <w:r>
        <w:t>applicants</w:t>
      </w:r>
      <w:r w:rsidRPr="000240A6">
        <w:t xml:space="preserve"> regarding missing or data discrepancies, and processing supplemental documents submitted by the individual). </w:t>
      </w:r>
    </w:p>
    <w:p w14:paraId="5912B76B" w14:textId="77777777" w:rsidR="00AE78F4" w:rsidRDefault="00AE78F4" w:rsidP="00AE78F4">
      <w:pPr>
        <w:pStyle w:val="TechnicalAppendixText"/>
      </w:pPr>
      <w:r w:rsidRPr="196FF3F9">
        <w:t>The impact adds up. For example, for a hypothetical state with 200,000 MSP applications/renewals each year</w:t>
      </w:r>
      <w:r>
        <w:t>:</w:t>
      </w:r>
      <w:r>
        <w:rPr>
          <w:rStyle w:val="EndnoteReference"/>
          <w:rFonts w:ascii="Calibri" w:hAnsi="Calibri" w:cs="Calibri"/>
          <w:sz w:val="22"/>
          <w:szCs w:val="22"/>
        </w:rPr>
        <w:endnoteReference w:id="47"/>
      </w:r>
    </w:p>
    <w:p w14:paraId="69B57A25" w14:textId="76E20CD1" w:rsidR="00AE78F4" w:rsidRPr="000240A6" w:rsidRDefault="00AE78F4" w:rsidP="00142C0A">
      <w:pPr>
        <w:pStyle w:val="TechnicalAppendixText"/>
        <w:numPr>
          <w:ilvl w:val="0"/>
          <w:numId w:val="4"/>
        </w:numPr>
        <w:spacing w:after="180"/>
        <w:ind w:left="360"/>
      </w:pPr>
      <w:r w:rsidRPr="000240A6">
        <w:t>1.5 hours of time saved per MSP-only application</w:t>
      </w:r>
    </w:p>
    <w:p w14:paraId="721BDDF1" w14:textId="77777777" w:rsidR="00AE78F4" w:rsidRPr="000240A6" w:rsidRDefault="00AE78F4" w:rsidP="00142C0A">
      <w:pPr>
        <w:pStyle w:val="TechnicalAppendixText"/>
        <w:numPr>
          <w:ilvl w:val="0"/>
          <w:numId w:val="3"/>
        </w:numPr>
        <w:spacing w:after="180"/>
        <w:ind w:left="360"/>
        <w:rPr>
          <w:color w:val="000000"/>
        </w:rPr>
      </w:pPr>
      <w:r w:rsidRPr="000240A6">
        <w:t xml:space="preserve">Multiplied by number of MSP-only applications/renewals in our hypothetical state, </w:t>
      </w:r>
      <w:r>
        <w:t xml:space="preserve">using the federal government’s assumption that </w:t>
      </w:r>
      <w:r w:rsidRPr="000240A6">
        <w:t>25% of MSP applicants use the MSP-only application (25% x 200,000 = 50,000)</w:t>
      </w:r>
    </w:p>
    <w:p w14:paraId="321E5419" w14:textId="77777777" w:rsidR="00AE78F4" w:rsidRPr="000240A6" w:rsidRDefault="00AE78F4" w:rsidP="00142C0A">
      <w:pPr>
        <w:pStyle w:val="TechnicalAppendixText"/>
        <w:numPr>
          <w:ilvl w:val="0"/>
          <w:numId w:val="3"/>
        </w:numPr>
        <w:spacing w:after="180"/>
        <w:ind w:left="360"/>
      </w:pPr>
      <w:r w:rsidRPr="000240A6">
        <w:t>Reduced state administrative burden: 75,000 hours per year (50,000 x 1.5 hours)</w:t>
      </w:r>
    </w:p>
    <w:p w14:paraId="4E177860" w14:textId="77777777" w:rsidR="00AE78F4" w:rsidRDefault="00AE78F4" w:rsidP="00AE78F4">
      <w:pPr>
        <w:pStyle w:val="TechnicalAppendixText"/>
        <w:rPr>
          <w:color w:val="000000"/>
        </w:rPr>
      </w:pPr>
      <w:r w:rsidRPr="000240A6">
        <w:t>Building again on prior federal estimates</w:t>
      </w:r>
      <w:r w:rsidRPr="000240A6">
        <w:rPr>
          <w:rStyle w:val="EndnoteReference"/>
          <w:rFonts w:ascii="Calibri" w:hAnsi="Calibri" w:cs="Calibri"/>
          <w:sz w:val="22"/>
          <w:szCs w:val="22"/>
        </w:rPr>
        <w:endnoteReference w:id="48"/>
      </w:r>
      <w:r w:rsidRPr="000240A6">
        <w:t xml:space="preserve"> we estimate that the reduction in state burden would in turn save a hypothetical state with 200,000 MSP applications/renewals over $1.8m per year in state funds.  Our calculations: </w:t>
      </w:r>
    </w:p>
    <w:p w14:paraId="7571D6A9" w14:textId="77777777" w:rsidR="00AE78F4" w:rsidRPr="00A32548" w:rsidRDefault="00AE78F4" w:rsidP="00142C0A">
      <w:pPr>
        <w:pStyle w:val="TechnicalAppendixText"/>
        <w:numPr>
          <w:ilvl w:val="0"/>
          <w:numId w:val="5"/>
        </w:numPr>
        <w:spacing w:after="180"/>
        <w:ind w:left="360"/>
        <w:rPr>
          <w:color w:val="000000"/>
        </w:rPr>
      </w:pPr>
      <w:r w:rsidRPr="00A32548">
        <w:t>75,000 hours saved per state for eligibility workers</w:t>
      </w:r>
    </w:p>
    <w:p w14:paraId="2B44FECB" w14:textId="77777777" w:rsidR="00AE78F4" w:rsidRPr="000240A6" w:rsidRDefault="00AE78F4" w:rsidP="00142C0A">
      <w:pPr>
        <w:pStyle w:val="TechnicalAppendixText"/>
        <w:numPr>
          <w:ilvl w:val="0"/>
          <w:numId w:val="5"/>
        </w:numPr>
        <w:spacing w:after="180"/>
        <w:ind w:left="360"/>
        <w:rPr>
          <w:color w:val="000000"/>
        </w:rPr>
      </w:pPr>
      <w:r w:rsidRPr="000240A6">
        <w:t xml:space="preserve">Multiplied by the mean hourly adjusted wage for state eligibility workers ($49.84/hour), based on the Bureau of Labor Statistics May 2023 report and inclusive of fringe benefits and other direct costs </w:t>
      </w:r>
    </w:p>
    <w:p w14:paraId="10EF6CB8" w14:textId="77777777" w:rsidR="00AE78F4" w:rsidRPr="000240A6" w:rsidRDefault="00AE78F4" w:rsidP="00142C0A">
      <w:pPr>
        <w:pStyle w:val="TechnicalAppendixText"/>
        <w:numPr>
          <w:ilvl w:val="0"/>
          <w:numId w:val="5"/>
        </w:numPr>
        <w:spacing w:after="180"/>
        <w:ind w:left="360"/>
        <w:rPr>
          <w:color w:val="000000"/>
        </w:rPr>
      </w:pPr>
      <w:r w:rsidRPr="000240A6">
        <w:t>Subtotal: $3,738,000 (75,000 hours x $49.84/hour)</w:t>
      </w:r>
    </w:p>
    <w:p w14:paraId="4C2A8072" w14:textId="77777777" w:rsidR="00AE78F4" w:rsidRPr="000240A6" w:rsidRDefault="00AE78F4" w:rsidP="00142C0A">
      <w:pPr>
        <w:pStyle w:val="TechnicalAppendixText"/>
        <w:numPr>
          <w:ilvl w:val="0"/>
          <w:numId w:val="5"/>
        </w:numPr>
        <w:spacing w:after="180"/>
        <w:ind w:left="360"/>
        <w:rPr>
          <w:color w:val="000000"/>
        </w:rPr>
      </w:pPr>
      <w:r w:rsidRPr="000240A6">
        <w:t>Multiplied by a 50% federal matching rate for state administrative expenses</w:t>
      </w:r>
    </w:p>
    <w:p w14:paraId="158E78B2" w14:textId="77777777" w:rsidR="00AE78F4" w:rsidRPr="000240A6" w:rsidRDefault="00AE78F4" w:rsidP="00142C0A">
      <w:pPr>
        <w:pStyle w:val="TechnicalAppendixText"/>
        <w:numPr>
          <w:ilvl w:val="0"/>
          <w:numId w:val="5"/>
        </w:numPr>
        <w:spacing w:after="180"/>
        <w:ind w:left="360"/>
      </w:pPr>
      <w:r w:rsidRPr="000240A6">
        <w:t>State share of savings on labor costs: $1,869,000 per year</w:t>
      </w:r>
    </w:p>
    <w:p w14:paraId="77F40221" w14:textId="328D03D4" w:rsidR="00AE78F4" w:rsidRPr="000240A6" w:rsidRDefault="00AE78F4" w:rsidP="00AE78F4">
      <w:pPr>
        <w:pStyle w:val="TechnicalAppendixText"/>
        <w:rPr>
          <w:color w:val="000000"/>
        </w:rPr>
      </w:pPr>
      <w:r w:rsidRPr="00E16326">
        <w:t>Asset verification fees: States pay fees to private vendors that check MSP application data against electronic data sources (e.g., bank records). We are not aware of data on the average vendor fee</w:t>
      </w:r>
      <w:r w:rsidR="00475134" w:rsidRPr="00E16326">
        <w:t>s</w:t>
      </w:r>
      <w:r w:rsidRPr="00E16326">
        <w:t xml:space="preserve"> </w:t>
      </w:r>
      <w:r w:rsidR="000A4F22" w:rsidRPr="00E16326">
        <w:t>for</w:t>
      </w:r>
      <w:r w:rsidRPr="00E16326">
        <w:t xml:space="preserve"> asset verification. However, this model policy would result in savings where states no longer need to pay these fees for MSP-only applications.</w:t>
      </w:r>
    </w:p>
    <w:p w14:paraId="6C2A4A68" w14:textId="77777777" w:rsidR="00AE78F4" w:rsidRPr="000240A6" w:rsidRDefault="00AE78F4" w:rsidP="00AE78F4">
      <w:pPr>
        <w:pStyle w:val="TechnicalAppendixText"/>
      </w:pPr>
      <w:r w:rsidRPr="000240A6">
        <w:rPr>
          <w:i/>
        </w:rPr>
        <w:t xml:space="preserve">Limitations. </w:t>
      </w:r>
      <w:r w:rsidRPr="000240A6">
        <w:t xml:space="preserve">Our estimates for new MSP benefit costs have not factored for any potential state spending effects from: </w:t>
      </w:r>
    </w:p>
    <w:p w14:paraId="2D755E23" w14:textId="77777777" w:rsidR="00AE78F4" w:rsidRPr="000240A6" w:rsidRDefault="00AE78F4" w:rsidP="00142C0A">
      <w:pPr>
        <w:pStyle w:val="TechnicalAppendixText"/>
        <w:numPr>
          <w:ilvl w:val="0"/>
          <w:numId w:val="5"/>
        </w:numPr>
        <w:spacing w:after="180"/>
        <w:ind w:left="360"/>
      </w:pPr>
      <w:r w:rsidRPr="000240A6">
        <w:t>Changes in eligibility for full Medicaid (e.g., delays in becoming eligible for full Medicaid due to protection from Medicare cost sharing),</w:t>
      </w:r>
    </w:p>
    <w:p w14:paraId="0AA91CFD" w14:textId="77777777" w:rsidR="00AE78F4" w:rsidRPr="000240A6" w:rsidRDefault="00AE78F4" w:rsidP="00142C0A">
      <w:pPr>
        <w:pStyle w:val="TechnicalAppendixText"/>
        <w:numPr>
          <w:ilvl w:val="0"/>
          <w:numId w:val="5"/>
        </w:numPr>
        <w:spacing w:after="180"/>
        <w:ind w:left="360"/>
      </w:pPr>
      <w:r w:rsidRPr="000240A6">
        <w:t>Changes in service utilization (e.g., potential delay in nursing facility placement due to having the financial resources to remain at home),</w:t>
      </w:r>
    </w:p>
    <w:p w14:paraId="14C9D933" w14:textId="77777777" w:rsidR="00AE78F4" w:rsidRPr="000240A6" w:rsidRDefault="00AE78F4" w:rsidP="00142C0A">
      <w:pPr>
        <w:pStyle w:val="TechnicalAppendixText"/>
        <w:numPr>
          <w:ilvl w:val="0"/>
          <w:numId w:val="5"/>
        </w:numPr>
        <w:spacing w:after="180"/>
        <w:ind w:left="360"/>
      </w:pPr>
      <w:r w:rsidRPr="000240A6">
        <w:t>Reduced demand for state pharmaceutical assistance programs, due to MSP enrollment automatically conferring Part D Extra Help enrollment, or</w:t>
      </w:r>
    </w:p>
    <w:p w14:paraId="1E9E315A" w14:textId="77777777" w:rsidR="00AE78F4" w:rsidRPr="000240A6" w:rsidRDefault="00AE78F4" w:rsidP="00142C0A">
      <w:pPr>
        <w:pStyle w:val="TechnicalAppendixText"/>
        <w:numPr>
          <w:ilvl w:val="0"/>
          <w:numId w:val="5"/>
        </w:numPr>
        <w:spacing w:after="180"/>
        <w:ind w:left="360"/>
      </w:pPr>
      <w:r w:rsidRPr="000240A6">
        <w:t xml:space="preserve">Mortality risk associated with coverage (or loss </w:t>
      </w:r>
      <w:bookmarkStart w:id="12" w:name="_Int_qA3kd5MJ"/>
      <w:r w:rsidRPr="000240A6">
        <w:t>thereof).</w:t>
      </w:r>
      <w:bookmarkEnd w:id="12"/>
    </w:p>
    <w:p w14:paraId="3BF29D51" w14:textId="77777777" w:rsidR="00AE78F4" w:rsidRPr="000240A6" w:rsidRDefault="00AE78F4" w:rsidP="00AE78F4">
      <w:pPr>
        <w:pStyle w:val="TechnicalAppendixText"/>
      </w:pPr>
      <w:r w:rsidRPr="000240A6">
        <w:t>We also have not estimated effects from increased local economic activity due to:</w:t>
      </w:r>
    </w:p>
    <w:p w14:paraId="658A1061" w14:textId="77777777" w:rsidR="00AE78F4" w:rsidRDefault="00AE78F4" w:rsidP="00142C0A">
      <w:pPr>
        <w:pStyle w:val="TechnicalAppendixText"/>
        <w:numPr>
          <w:ilvl w:val="0"/>
          <w:numId w:val="5"/>
        </w:numPr>
        <w:spacing w:after="180"/>
        <w:ind w:left="360"/>
      </w:pPr>
      <w:r w:rsidRPr="000240A6">
        <w:t xml:space="preserve">Increases in spending power for Medicare beneficiaries (who newly have an extra $202.90/month in their Social Security checks after MSP enrollment), or </w:t>
      </w:r>
    </w:p>
    <w:p w14:paraId="7CA33EEA" w14:textId="77777777" w:rsidR="00AE78F4" w:rsidRPr="00971CC1" w:rsidRDefault="00AE78F4" w:rsidP="00142C0A">
      <w:pPr>
        <w:pStyle w:val="TechnicalAppendixText"/>
        <w:numPr>
          <w:ilvl w:val="0"/>
          <w:numId w:val="5"/>
        </w:numPr>
        <w:spacing w:after="180"/>
        <w:ind w:left="360"/>
      </w:pPr>
      <w:r w:rsidRPr="00971CC1">
        <w:t>Additional federal funds entering the state.</w:t>
      </w:r>
    </w:p>
    <w:p w14:paraId="3E0EC64D" w14:textId="77777777" w:rsidR="00AE78F4" w:rsidRPr="000240A6" w:rsidRDefault="00AE78F4" w:rsidP="00AE78F4">
      <w:pPr>
        <w:pStyle w:val="TechnicalAppendixText"/>
        <w:rPr>
          <w:i/>
        </w:rPr>
      </w:pPr>
      <w:r w:rsidRPr="000240A6">
        <w:t>Therefore, on net, our modeling above is likely a conservative representation of the net fiscal impact for a state.</w:t>
      </w:r>
    </w:p>
    <w:p w14:paraId="6EE2FA53" w14:textId="77777777" w:rsidR="00AE78F4" w:rsidRPr="00100EA1" w:rsidRDefault="00AE78F4" w:rsidP="00E24E76">
      <w:pPr>
        <w:pStyle w:val="TechnicalAppendixHeader"/>
        <w:rPr>
          <w:b w:val="0"/>
          <w:bCs/>
          <w:iCs w:val="0"/>
        </w:rPr>
      </w:pPr>
      <w:r w:rsidRPr="00E24E76">
        <w:t xml:space="preserve">Administrative burden reduction for MSP applicants </w:t>
      </w:r>
    </w:p>
    <w:p w14:paraId="6175DD9A" w14:textId="77777777" w:rsidR="00AE78F4" w:rsidRPr="000240A6" w:rsidRDefault="00AE78F4" w:rsidP="00AE78F4">
      <w:pPr>
        <w:pStyle w:val="TechnicalAppendixText"/>
      </w:pPr>
      <w:r w:rsidRPr="000240A6">
        <w:t>Burden reduction for new MSP applicants and MSP beneficiaries renewing their eligibility: The federal government has estimated that the average time to complete an MSP-only application and collect documentation related to assets is 4.5 hours, with approximately four of those hours specifically related to asset documentation,</w:t>
      </w:r>
      <w:r w:rsidRPr="000240A6">
        <w:rPr>
          <w:rStyle w:val="EndnoteReference"/>
          <w:rFonts w:ascii="Calibri" w:hAnsi="Calibri" w:cs="Calibri"/>
          <w:sz w:val="22"/>
          <w:szCs w:val="22"/>
        </w:rPr>
        <w:endnoteReference w:id="49"/>
      </w:r>
      <w:r w:rsidRPr="000240A6">
        <w:t xml:space="preserve"> including reading instructions, gathering documents, contacting institutions, traveling, copying, and submitting materials. As such, we estimate that this policy would save each applicant an average of four hours per year by removing asset-related aspects of the MSP application/renewal process.</w:t>
      </w:r>
    </w:p>
    <w:p w14:paraId="3B10980F" w14:textId="77777777" w:rsidR="00AE78F4" w:rsidRPr="000240A6" w:rsidRDefault="00AE78F4" w:rsidP="00AE78F4">
      <w:pPr>
        <w:pStyle w:val="TechnicalAppendixText"/>
      </w:pPr>
      <w:r w:rsidRPr="000240A6">
        <w:t>The impact adds up. For example, assuming a state with 200,000 MSP applications/renewals each year:</w:t>
      </w:r>
    </w:p>
    <w:p w14:paraId="06A65890" w14:textId="77777777" w:rsidR="00AE78F4" w:rsidRPr="000240A6" w:rsidRDefault="00AE78F4" w:rsidP="00142C0A">
      <w:pPr>
        <w:pStyle w:val="TechnicalAppendixText"/>
        <w:numPr>
          <w:ilvl w:val="0"/>
          <w:numId w:val="6"/>
        </w:numPr>
        <w:spacing w:after="180"/>
        <w:ind w:left="360"/>
        <w:rPr>
          <w:color w:val="000000"/>
        </w:rPr>
      </w:pPr>
      <w:r w:rsidRPr="000240A6">
        <w:t>Time saved on asset-related aspects of MSP application: 4 hours per applicant</w:t>
      </w:r>
    </w:p>
    <w:p w14:paraId="36A04004" w14:textId="77777777" w:rsidR="00AE78F4" w:rsidRPr="000240A6" w:rsidRDefault="00AE78F4" w:rsidP="00142C0A">
      <w:pPr>
        <w:pStyle w:val="TechnicalAppendixText"/>
        <w:numPr>
          <w:ilvl w:val="0"/>
          <w:numId w:val="6"/>
        </w:numPr>
        <w:spacing w:after="180"/>
        <w:ind w:left="360"/>
      </w:pPr>
      <w:r w:rsidRPr="000240A6">
        <w:t xml:space="preserve">Multiplied by number of MSP-only applications/renewals in our hypothetical state, </w:t>
      </w:r>
      <w:r>
        <w:t xml:space="preserve">using the federal government’s assumption that </w:t>
      </w:r>
      <w:r w:rsidRPr="000240A6">
        <w:t>25% of MSP applicants use the MSP-specific application (25% x 200,000 = 50,000)</w:t>
      </w:r>
    </w:p>
    <w:p w14:paraId="3CC499AB" w14:textId="77777777" w:rsidR="00AE78F4" w:rsidRPr="00100EA1" w:rsidRDefault="00AE78F4" w:rsidP="00142C0A">
      <w:pPr>
        <w:pStyle w:val="TechnicalAppendixText"/>
        <w:numPr>
          <w:ilvl w:val="0"/>
          <w:numId w:val="6"/>
        </w:numPr>
        <w:spacing w:after="180"/>
        <w:ind w:left="360"/>
        <w:rPr>
          <w:rFonts w:cs="Tahoma"/>
        </w:rPr>
      </w:pPr>
      <w:r w:rsidRPr="00100EA1">
        <w:rPr>
          <w:rFonts w:cs="Tahoma"/>
        </w:rPr>
        <w:t>Reduction in administrative burden for MSP applicants: 200,000 hours per year (50,000 x 4 hours)</w:t>
      </w:r>
    </w:p>
    <w:p w14:paraId="354BC918" w14:textId="1B7A7062" w:rsidR="006A2EF4" w:rsidRDefault="00AE78F4" w:rsidP="00677E3E">
      <w:pPr>
        <w:pStyle w:val="TechnicalAppendixText"/>
      </w:pPr>
      <w:r w:rsidRPr="00100EA1">
        <w:rPr>
          <w:rFonts w:cs="Tahoma"/>
        </w:rPr>
        <w:t>We will update our estimates when new data and published research become available. We welcome feedback and are happy to discuss financial considerations in individual states: </w:t>
      </w:r>
      <w:hyperlink r:id="rId40" w:tgtFrame="_blank" w:history="1">
        <w:r w:rsidRPr="00100EA1">
          <w:rPr>
            <w:rStyle w:val="Hyperlink"/>
            <w:rFonts w:cs="Tahoma"/>
          </w:rPr>
          <w:t>info@ADHealthPolicyLab.org</w:t>
        </w:r>
      </w:hyperlink>
      <w:r w:rsidRPr="00100EA1">
        <w:rPr>
          <w:rFonts w:cs="Tahoma"/>
        </w:rPr>
        <w:t>.</w:t>
      </w:r>
    </w:p>
    <w:p w14:paraId="547C76B5" w14:textId="77777777" w:rsidR="00677E3E" w:rsidRDefault="00677E3E" w:rsidP="00233ED1">
      <w:pPr>
        <w:pStyle w:val="SectionName"/>
        <w:sectPr w:rsidR="00677E3E" w:rsidSect="00280384">
          <w:endnotePr>
            <w:numFmt w:val="decimal"/>
          </w:endnotePr>
          <w:type w:val="continuous"/>
          <w:pgSz w:w="12240" w:h="15840"/>
          <w:pgMar w:top="1440" w:right="1440" w:bottom="1440" w:left="1440" w:header="720" w:footer="432" w:gutter="0"/>
          <w:cols w:space="720"/>
          <w:docGrid w:linePitch="360"/>
        </w:sectPr>
      </w:pPr>
    </w:p>
    <w:p w14:paraId="376E7E01" w14:textId="77777777" w:rsidR="006A2EF4" w:rsidRDefault="006A2EF4" w:rsidP="00233ED1">
      <w:pPr>
        <w:pStyle w:val="SectionName"/>
      </w:pPr>
    </w:p>
    <w:p w14:paraId="24E4AF80" w14:textId="77777777" w:rsidR="006A2EF4" w:rsidRDefault="006A2EF4" w:rsidP="00233ED1">
      <w:pPr>
        <w:pStyle w:val="SectionName"/>
      </w:pPr>
    </w:p>
    <w:p w14:paraId="742D91BF" w14:textId="77777777" w:rsidR="006A2EF4" w:rsidRDefault="006A2EF4" w:rsidP="00233ED1">
      <w:pPr>
        <w:pStyle w:val="SectionName"/>
      </w:pPr>
    </w:p>
    <w:p w14:paraId="133D3AD6" w14:textId="77777777" w:rsidR="006A2EF4" w:rsidRDefault="006A2EF4" w:rsidP="00233ED1">
      <w:pPr>
        <w:pStyle w:val="SectionName"/>
      </w:pPr>
    </w:p>
    <w:p w14:paraId="202D921C" w14:textId="45D32334" w:rsidR="00BB000C" w:rsidRDefault="00BB000C" w:rsidP="00BB000C">
      <w:pPr>
        <w:pStyle w:val="SectionName"/>
      </w:pPr>
      <w:r w:rsidRPr="714CF974">
        <w:t>Flatten the Benefit Cliff from</w:t>
      </w:r>
      <w:r w:rsidR="00D779B6">
        <w:t xml:space="preserve"> </w:t>
      </w:r>
      <w:r w:rsidRPr="714CF974">
        <w:t>Medicaid to Medicare</w:t>
      </w:r>
    </w:p>
    <w:p w14:paraId="32FFE216" w14:textId="3020F642" w:rsidR="006A2EF4" w:rsidRDefault="007D66BB">
      <w:pPr>
        <w:rPr>
          <w:rFonts w:eastAsiaTheme="majorEastAsia"/>
          <w:bCs/>
          <w:noProof/>
          <w:color w:val="386641" w:themeColor="accent1"/>
          <w:sz w:val="60"/>
          <w:szCs w:val="60"/>
        </w:rPr>
      </w:pPr>
      <w:r>
        <w:rPr>
          <w:noProof/>
        </w:rPr>
        <w:drawing>
          <wp:anchor distT="0" distB="0" distL="114300" distR="114300" simplePos="0" relativeHeight="251658258" behindDoc="0" locked="0" layoutInCell="1" allowOverlap="1" wp14:anchorId="4371136C" wp14:editId="324141BA">
            <wp:simplePos x="0" y="0"/>
            <wp:positionH relativeFrom="column">
              <wp:posOffset>2535555</wp:posOffset>
            </wp:positionH>
            <wp:positionV relativeFrom="paragraph">
              <wp:posOffset>487103</wp:posOffset>
            </wp:positionV>
            <wp:extent cx="829876" cy="1199764"/>
            <wp:effectExtent l="0" t="0" r="8890" b="635"/>
            <wp:wrapNone/>
            <wp:docPr id="1847533801" name="Graphic 13" descr="Icon of person about to fall off a cliff with a 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33801" name="Graphic 13" descr="Icon of person about to fall off a cliff with a warning sign"/>
                    <pic:cNvPicPr/>
                  </pic:nvPicPr>
                  <pic:blipFill>
                    <a:blip r:embed="rId41">
                      <a:extLst>
                        <a:ext uri="{96DAC541-7B7A-43D3-8B79-37D633B846F1}">
                          <asvg:svgBlip xmlns:asvg="http://schemas.microsoft.com/office/drawing/2016/SVG/main" r:embed="rId42"/>
                        </a:ext>
                      </a:extLst>
                    </a:blip>
                    <a:stretch>
                      <a:fillRect/>
                    </a:stretch>
                  </pic:blipFill>
                  <pic:spPr>
                    <a:xfrm>
                      <a:off x="0" y="0"/>
                      <a:ext cx="829876" cy="1199764"/>
                    </a:xfrm>
                    <a:prstGeom prst="rect">
                      <a:avLst/>
                    </a:prstGeom>
                  </pic:spPr>
                </pic:pic>
              </a:graphicData>
            </a:graphic>
            <wp14:sizeRelH relativeFrom="page">
              <wp14:pctWidth>0</wp14:pctWidth>
            </wp14:sizeRelH>
            <wp14:sizeRelV relativeFrom="page">
              <wp14:pctHeight>0</wp14:pctHeight>
            </wp14:sizeRelV>
          </wp:anchor>
        </w:drawing>
      </w:r>
      <w:r w:rsidR="00FB59D8">
        <w:rPr>
          <w:noProof/>
        </w:rPr>
        <mc:AlternateContent>
          <mc:Choice Requires="wps">
            <w:drawing>
              <wp:anchor distT="0" distB="0" distL="114300" distR="114300" simplePos="0" relativeHeight="251658247" behindDoc="1" locked="0" layoutInCell="1" allowOverlap="1" wp14:anchorId="4BC07853" wp14:editId="4CF9B99F">
                <wp:simplePos x="0" y="0"/>
                <wp:positionH relativeFrom="column">
                  <wp:posOffset>-448945</wp:posOffset>
                </wp:positionH>
                <wp:positionV relativeFrom="paragraph">
                  <wp:posOffset>5715</wp:posOffset>
                </wp:positionV>
                <wp:extent cx="6877685" cy="142875"/>
                <wp:effectExtent l="0" t="0" r="18415" b="28575"/>
                <wp:wrapNone/>
                <wp:docPr id="1071836801" name="Rectangle 120"/>
                <wp:cNvGraphicFramePr/>
                <a:graphic xmlns:a="http://schemas.openxmlformats.org/drawingml/2006/main">
                  <a:graphicData uri="http://schemas.microsoft.com/office/word/2010/wordprocessingShape">
                    <wps:wsp>
                      <wps:cNvSpPr/>
                      <wps:spPr>
                        <a:xfrm>
                          <a:off x="0" y="0"/>
                          <a:ext cx="6877685" cy="142875"/>
                        </a:xfrm>
                        <a:prstGeom prst="roundRect">
                          <a:avLst/>
                        </a:prstGeom>
                        <a:solidFill>
                          <a:schemeClr val="accent2"/>
                        </a:solidFill>
                        <a:ln>
                          <a:solidFill>
                            <a:schemeClr val="accent2"/>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120" style="position:absolute;margin-left:-35.35pt;margin-top:.45pt;width:541.55pt;height:11.25pt;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994e [3205]" strokecolor="#6a994e [3205]" arcsize="10923f" w14:anchorId="44D0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"/>
            </w:pict>
          </mc:Fallback>
        </mc:AlternateContent>
      </w:r>
      <w:r w:rsidR="00EE2672">
        <w:rPr>
          <w:noProof/>
        </w:rPr>
        <mc:AlternateContent>
          <mc:Choice Requires="wps">
            <w:drawing>
              <wp:anchor distT="0" distB="0" distL="114300" distR="114300" simplePos="0" relativeHeight="251658246" behindDoc="1" locked="0" layoutInCell="1" allowOverlap="1" wp14:anchorId="1D927EB6" wp14:editId="34F8EF1B">
                <wp:simplePos x="0" y="0"/>
                <wp:positionH relativeFrom="column">
                  <wp:posOffset>-452755</wp:posOffset>
                </wp:positionH>
                <wp:positionV relativeFrom="paragraph">
                  <wp:posOffset>302959</wp:posOffset>
                </wp:positionV>
                <wp:extent cx="6873875" cy="1609725"/>
                <wp:effectExtent l="0" t="0" r="22225" b="28575"/>
                <wp:wrapNone/>
                <wp:docPr id="649463189" name="Rectangle 121"/>
                <wp:cNvGraphicFramePr/>
                <a:graphic xmlns:a="http://schemas.openxmlformats.org/drawingml/2006/main">
                  <a:graphicData uri="http://schemas.microsoft.com/office/word/2010/wordprocessingShape">
                    <wps:wsp>
                      <wps:cNvSpPr/>
                      <wps:spPr>
                        <a:xfrm>
                          <a:off x="0" y="0"/>
                          <a:ext cx="6873875" cy="1609725"/>
                        </a:xfrm>
                        <a:prstGeom prst="roundRect">
                          <a:avLst>
                            <a:gd name="adj" fmla="val 1961"/>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0DE3B551" w14:textId="77777777" w:rsidR="006A2EF4" w:rsidRDefault="006A2EF4" w:rsidP="00F33C7A">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27EB6" id="_x0000_s1029" style="position:absolute;margin-left:-35.65pt;margin-top:23.85pt;width:541.25pt;height:126.7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" fillcolor="#386641 [3204]" strokecolor="#386641 [3204]">
                <v:textbox inset="36pt,14.4pt,36pt,36pt">
                  <w:txbxContent>
                    <w:p w14:paraId="0DE3B551" w14:textId="77777777" w:rsidR="006A2EF4" w:rsidRDefault="006A2EF4" w:rsidP="00F33C7A">
                      <w:pPr>
                        <w:pStyle w:val="NoSpacing"/>
                        <w:rPr>
                          <w:caps/>
                          <w:color w:val="FFFFFF" w:themeColor="background1"/>
                        </w:rPr>
                      </w:pPr>
                    </w:p>
                  </w:txbxContent>
                </v:textbox>
              </v:roundrect>
            </w:pict>
          </mc:Fallback>
        </mc:AlternateContent>
      </w:r>
      <w:r w:rsidR="006A2EF4">
        <w:br w:type="page"/>
      </w:r>
    </w:p>
    <w:p w14:paraId="2990BD6C" w14:textId="77777777" w:rsidR="006A2EF4" w:rsidRDefault="006A2EF4" w:rsidP="0014057A">
      <w:pPr>
        <w:rPr>
          <w:rStyle w:val="Emphasis"/>
        </w:rPr>
        <w:sectPr w:rsidR="006A2EF4" w:rsidSect="00BC71B3">
          <w:footerReference w:type="default" r:id="rId43"/>
          <w:endnotePr>
            <w:numFmt w:val="decimal"/>
          </w:endnotePr>
          <w:pgSz w:w="12240" w:h="15840"/>
          <w:pgMar w:top="1440" w:right="1440" w:bottom="1440" w:left="1440" w:header="720" w:footer="432" w:gutter="0"/>
          <w:cols w:space="720"/>
          <w:docGrid w:linePitch="360"/>
        </w:sectPr>
      </w:pPr>
    </w:p>
    <w:p w14:paraId="0D430758" w14:textId="74C7C7BC" w:rsidR="00EE2672" w:rsidRDefault="00EE2672" w:rsidP="00EE2672">
      <w:pPr>
        <w:pStyle w:val="Heading1"/>
        <w:rPr>
          <w:rStyle w:val="Emphasis"/>
          <w:b/>
          <w:bCs w:val="0"/>
        </w:rPr>
      </w:pPr>
      <w:bookmarkStart w:id="13" w:name="_Flatten_the_Benefit"/>
      <w:bookmarkStart w:id="14" w:name="_Toc226982637"/>
      <w:bookmarkEnd w:id="13"/>
      <w:r w:rsidRPr="00EE2672">
        <w:rPr>
          <w:rStyle w:val="Emphasis"/>
          <w:b/>
          <w:bCs w:val="0"/>
        </w:rPr>
        <w:t xml:space="preserve">Flatten the Benefit Cliff from </w:t>
      </w:r>
      <w:r w:rsidR="00F36BC7">
        <w:rPr>
          <w:rStyle w:val="Emphasis"/>
          <w:b/>
          <w:bCs w:val="0"/>
        </w:rPr>
        <w:br/>
      </w:r>
      <w:r w:rsidRPr="00EE2672">
        <w:rPr>
          <w:rStyle w:val="Emphasis"/>
          <w:b/>
          <w:bCs w:val="0"/>
        </w:rPr>
        <w:t>Medicaid to Medicare</w:t>
      </w:r>
      <w:bookmarkEnd w:id="14"/>
    </w:p>
    <w:tbl>
      <w:tblPr>
        <w:tblStyle w:val="MagentaTable1"/>
        <w:tblpPr w:leftFromText="180" w:rightFromText="180" w:vertAnchor="text" w:tblpY="1"/>
        <w:tblW w:w="5000" w:type="pct"/>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bottom w:w="72" w:type="dxa"/>
        </w:tblCellMar>
        <w:tblLook w:val="0480" w:firstRow="0" w:lastRow="0" w:firstColumn="1" w:lastColumn="0" w:noHBand="0" w:noVBand="1"/>
      </w:tblPr>
      <w:tblGrid>
        <w:gridCol w:w="2605"/>
        <w:gridCol w:w="6745"/>
      </w:tblGrid>
      <w:tr w:rsidR="001B4BD2" w:rsidRPr="000D0F03" w14:paraId="052DCCC0" w14:textId="77777777" w:rsidTr="66F1D600">
        <w:trPr>
          <w:cantSplit/>
          <w:trHeight w:val="1317"/>
        </w:trPr>
        <w:tc>
          <w:tcPr>
            <w:tcW w:w="1393" w:type="pct"/>
            <w:shd w:val="clear" w:color="auto" w:fill="414150" w:themeFill="text1"/>
            <w:vAlign w:val="center"/>
            <w:hideMark/>
          </w:tcPr>
          <w:p w14:paraId="43A52F6D" w14:textId="19681C7E" w:rsidR="001B4BD2" w:rsidRPr="001B4BD2" w:rsidRDefault="001B4BD2" w:rsidP="00BF0B0D">
            <w:pPr>
              <w:rPr>
                <w:rFonts w:eastAsia="Calibri"/>
                <w:b/>
                <w:bCs/>
                <w:color w:val="FFFFFF" w:themeColor="background1"/>
                <w:sz w:val="20"/>
                <w:szCs w:val="20"/>
              </w:rPr>
            </w:pPr>
            <w:r w:rsidRPr="001B4BD2">
              <w:rPr>
                <w:rFonts w:eastAsia="Calibri"/>
                <w:b/>
                <w:bCs/>
                <w:color w:val="FFFFFF" w:themeColor="background1"/>
              </w:rPr>
              <w:t>Problem</w:t>
            </w:r>
          </w:p>
        </w:tc>
        <w:tc>
          <w:tcPr>
            <w:tcW w:w="3607" w:type="pct"/>
            <w:shd w:val="clear" w:color="auto" w:fill="F2F2F2" w:themeFill="background2" w:themeFillShade="F2"/>
            <w:vAlign w:val="center"/>
            <w:hideMark/>
          </w:tcPr>
          <w:p w14:paraId="6AA67967" w14:textId="146300B7" w:rsidR="001B4BD2" w:rsidRPr="000D0F03" w:rsidRDefault="001B4BD2" w:rsidP="00BF0B0D">
            <w:r w:rsidRPr="001B4BD2">
              <w:t>Enrolling in Medicare results in many people losing Medicaid and facing much higher out-of-pocket costs. These costs amount to a financial shock—a problem known as the "Medicare cliff.”</w:t>
            </w:r>
          </w:p>
        </w:tc>
      </w:tr>
      <w:tr w:rsidR="001B4BD2" w:rsidRPr="000D0F03" w14:paraId="55BD4B89" w14:textId="77777777" w:rsidTr="00BF0B0D">
        <w:trPr>
          <w:cantSplit/>
          <w:trHeight w:val="1936"/>
        </w:trPr>
        <w:tc>
          <w:tcPr>
            <w:tcW w:w="1393" w:type="pct"/>
            <w:shd w:val="clear" w:color="auto" w:fill="414150" w:themeFill="text1"/>
            <w:vAlign w:val="center"/>
          </w:tcPr>
          <w:p w14:paraId="49148557" w14:textId="34B743EC" w:rsidR="001B4BD2" w:rsidRPr="000D0F03" w:rsidRDefault="001B4BD2" w:rsidP="00BF0B0D">
            <w:pPr>
              <w:rPr>
                <w:rFonts w:eastAsia="Calibri"/>
                <w:b/>
                <w:bCs/>
                <w:color w:val="FFFFFF" w:themeColor="background1"/>
                <w:sz w:val="20"/>
                <w:szCs w:val="20"/>
              </w:rPr>
            </w:pPr>
            <w:r w:rsidRPr="001B4BD2">
              <w:rPr>
                <w:rFonts w:eastAsia="Calibri"/>
                <w:b/>
                <w:bCs/>
                <w:color w:val="FFFFFF" w:themeColor="background1"/>
              </w:rPr>
              <w:t>Solution</w:t>
            </w:r>
          </w:p>
        </w:tc>
        <w:tc>
          <w:tcPr>
            <w:tcW w:w="3607" w:type="pct"/>
            <w:vAlign w:val="center"/>
          </w:tcPr>
          <w:p w14:paraId="6A3749DA" w14:textId="77777777" w:rsidR="00751A30" w:rsidRPr="00751A30" w:rsidRDefault="001B4BD2" w:rsidP="00BF0B0D">
            <w:pPr>
              <w:pStyle w:val="Bullets"/>
              <w:ind w:left="345"/>
              <w:rPr>
                <w:sz w:val="20"/>
                <w:szCs w:val="20"/>
              </w:rPr>
            </w:pPr>
            <w:r w:rsidRPr="001B4BD2">
              <w:t>Flatten the Medicare cliff by eliminating premiums and cost sharing for all Medicare beneficiaries with incomes up to 138% of the federal poverty level.</w:t>
            </w:r>
          </w:p>
          <w:p w14:paraId="0F1FD898" w14:textId="4AB70493" w:rsidR="001B4BD2" w:rsidRPr="000D0F03" w:rsidRDefault="001B4BD2" w:rsidP="00BF0B0D">
            <w:pPr>
              <w:pStyle w:val="Bullets"/>
              <w:ind w:left="345"/>
              <w:rPr>
                <w:sz w:val="20"/>
                <w:szCs w:val="20"/>
              </w:rPr>
            </w:pPr>
            <w:r w:rsidRPr="001B4BD2">
              <w:t>Cover Part B premium using 100% federal funding for people with incomes up to 186% of the federal poverty level.</w:t>
            </w:r>
          </w:p>
        </w:tc>
      </w:tr>
      <w:tr w:rsidR="001B4BD2" w:rsidRPr="000D0F03" w14:paraId="216AE0FD" w14:textId="77777777" w:rsidTr="66F1D600">
        <w:trPr>
          <w:cantSplit/>
          <w:trHeight w:val="1450"/>
        </w:trPr>
        <w:tc>
          <w:tcPr>
            <w:tcW w:w="1393" w:type="pct"/>
            <w:shd w:val="clear" w:color="auto" w:fill="414150" w:themeFill="text1"/>
            <w:vAlign w:val="center"/>
          </w:tcPr>
          <w:p w14:paraId="6BEF301C" w14:textId="2785A393" w:rsidR="001B4BD2" w:rsidRPr="001B4BD2" w:rsidRDefault="001B4BD2" w:rsidP="00BF0B0D">
            <w:pPr>
              <w:rPr>
                <w:rFonts w:eastAsia="Calibri"/>
                <w:b/>
                <w:bCs/>
                <w:color w:val="FFFFFF" w:themeColor="background1"/>
              </w:rPr>
            </w:pPr>
            <w:r w:rsidRPr="001B4BD2">
              <w:rPr>
                <w:rFonts w:eastAsia="Calibri"/>
                <w:b/>
                <w:bCs/>
                <w:color w:val="FFFFFF" w:themeColor="background1"/>
              </w:rPr>
              <w:t>Benefits for older adults and people with disabilities</w:t>
            </w:r>
          </w:p>
        </w:tc>
        <w:tc>
          <w:tcPr>
            <w:tcW w:w="3607" w:type="pct"/>
            <w:shd w:val="clear" w:color="auto" w:fill="F2F2F2" w:themeFill="background2" w:themeFillShade="F2"/>
            <w:vAlign w:val="center"/>
          </w:tcPr>
          <w:p w14:paraId="680F48CC" w14:textId="77777777" w:rsidR="001B4BD2" w:rsidRPr="001B4BD2" w:rsidRDefault="001B4BD2" w:rsidP="00BF0B0D">
            <w:pPr>
              <w:pStyle w:val="Bullets"/>
              <w:ind w:left="345"/>
            </w:pPr>
            <w:r w:rsidRPr="001B4BD2">
              <w:t>Remove financial shocks from Medicaid to Medicare.</w:t>
            </w:r>
          </w:p>
          <w:p w14:paraId="2D68B69B" w14:textId="77777777" w:rsidR="001B4BD2" w:rsidRPr="001B4BD2" w:rsidRDefault="001B4BD2" w:rsidP="00BF0B0D">
            <w:pPr>
              <w:pStyle w:val="Bullets"/>
              <w:ind w:left="345"/>
            </w:pPr>
            <w:r w:rsidRPr="001B4BD2">
              <w:t>Improve health care access.</w:t>
            </w:r>
          </w:p>
          <w:p w14:paraId="2532171A" w14:textId="77777777" w:rsidR="001B4BD2" w:rsidRPr="001B4BD2" w:rsidRDefault="001B4BD2" w:rsidP="00BF0B0D">
            <w:pPr>
              <w:pStyle w:val="Bullets"/>
              <w:ind w:left="345"/>
            </w:pPr>
            <w:r w:rsidRPr="001B4BD2">
              <w:t>Reduce financial strain.</w:t>
            </w:r>
          </w:p>
          <w:p w14:paraId="521597BC" w14:textId="0DACFC2B" w:rsidR="001B4BD2" w:rsidRPr="000D0F03" w:rsidRDefault="001B4BD2" w:rsidP="00BF0B0D">
            <w:pPr>
              <w:pStyle w:val="Bullets"/>
              <w:ind w:left="345"/>
              <w:rPr>
                <w:sz w:val="20"/>
                <w:szCs w:val="20"/>
              </w:rPr>
            </w:pPr>
            <w:r w:rsidRPr="001B4BD2">
              <w:t>Reduce mortality.</w:t>
            </w:r>
          </w:p>
        </w:tc>
      </w:tr>
      <w:tr w:rsidR="001B4BD2" w:rsidRPr="000D0F03" w14:paraId="01A98D2C" w14:textId="77777777" w:rsidTr="00BF0B0D">
        <w:trPr>
          <w:cantSplit/>
          <w:trHeight w:val="480"/>
        </w:trPr>
        <w:tc>
          <w:tcPr>
            <w:tcW w:w="1393" w:type="pct"/>
            <w:shd w:val="clear" w:color="auto" w:fill="414150" w:themeFill="text1"/>
            <w:vAlign w:val="center"/>
          </w:tcPr>
          <w:p w14:paraId="7C6648D3" w14:textId="60997A45" w:rsidR="001B4BD2" w:rsidRPr="001B4BD2" w:rsidRDefault="001B4BD2" w:rsidP="00BF0B0D">
            <w:pPr>
              <w:rPr>
                <w:rFonts w:eastAsia="Calibri"/>
                <w:b/>
                <w:bCs/>
                <w:color w:val="FFFFFF" w:themeColor="background1"/>
              </w:rPr>
            </w:pPr>
            <w:r w:rsidRPr="00480172">
              <w:rPr>
                <w:rFonts w:eastAsia="Calibri"/>
                <w:b/>
                <w:bCs/>
                <w:color w:val="FFFFFF" w:themeColor="background1"/>
              </w:rPr>
              <w:t>Benefits for states</w:t>
            </w:r>
          </w:p>
        </w:tc>
        <w:tc>
          <w:tcPr>
            <w:tcW w:w="3607" w:type="pct"/>
            <w:vAlign w:val="center"/>
          </w:tcPr>
          <w:p w14:paraId="7B04C940" w14:textId="6D0E6557" w:rsidR="001B4BD2" w:rsidRPr="000D0F03" w:rsidRDefault="001B4BD2" w:rsidP="00BF0B0D">
            <w:r w:rsidRPr="001B4BD2">
              <w:t>Maximize federal funding.</w:t>
            </w:r>
          </w:p>
        </w:tc>
      </w:tr>
      <w:tr w:rsidR="001B4BD2" w:rsidRPr="000D0F03" w14:paraId="65CB75C6" w14:textId="77777777" w:rsidTr="66F1D600">
        <w:trPr>
          <w:cantSplit/>
          <w:trHeight w:val="568"/>
        </w:trPr>
        <w:tc>
          <w:tcPr>
            <w:tcW w:w="1393" w:type="pct"/>
            <w:shd w:val="clear" w:color="auto" w:fill="414150" w:themeFill="text1"/>
            <w:vAlign w:val="center"/>
          </w:tcPr>
          <w:p w14:paraId="1F1832B2" w14:textId="6C620ACA" w:rsidR="001B4BD2" w:rsidRPr="00480172" w:rsidRDefault="001B4BD2" w:rsidP="00BF0B0D">
            <w:pPr>
              <w:rPr>
                <w:rFonts w:eastAsia="Calibri"/>
                <w:b/>
                <w:bCs/>
                <w:color w:val="FFFFFF" w:themeColor="background1"/>
              </w:rPr>
            </w:pPr>
            <w:r>
              <w:rPr>
                <w:rFonts w:eastAsia="Calibri"/>
                <w:b/>
                <w:bCs/>
                <w:color w:val="FFFFFF" w:themeColor="background1"/>
              </w:rPr>
              <w:t xml:space="preserve">State </w:t>
            </w:r>
            <w:r w:rsidR="00084AB2">
              <w:rPr>
                <w:rFonts w:eastAsia="Calibri"/>
                <w:b/>
                <w:bCs/>
                <w:color w:val="FFFFFF" w:themeColor="background1"/>
              </w:rPr>
              <w:t>c</w:t>
            </w:r>
            <w:r>
              <w:rPr>
                <w:rFonts w:eastAsia="Calibri"/>
                <w:b/>
                <w:bCs/>
                <w:color w:val="FFFFFF" w:themeColor="background1"/>
              </w:rPr>
              <w:t xml:space="preserve">ost </w:t>
            </w:r>
            <w:r w:rsidR="00D14DB5">
              <w:rPr>
                <w:rFonts w:eastAsia="Calibri"/>
                <w:b/>
                <w:bCs/>
                <w:color w:val="FFFFFF" w:themeColor="background1"/>
              </w:rPr>
              <w:t>i</w:t>
            </w:r>
            <w:r>
              <w:rPr>
                <w:rFonts w:eastAsia="Calibri"/>
                <w:b/>
                <w:bCs/>
                <w:color w:val="FFFFFF" w:themeColor="background1"/>
              </w:rPr>
              <w:t>mplications</w:t>
            </w:r>
          </w:p>
        </w:tc>
        <w:tc>
          <w:tcPr>
            <w:tcW w:w="3607" w:type="pct"/>
            <w:shd w:val="clear" w:color="auto" w:fill="F2F2F2" w:themeFill="background2" w:themeFillShade="F2"/>
            <w:vAlign w:val="center"/>
          </w:tcPr>
          <w:p w14:paraId="7E5D8BDC" w14:textId="6BB39371" w:rsidR="001B4BD2" w:rsidRPr="000D0F03" w:rsidRDefault="001B4BD2" w:rsidP="00BF0B0D">
            <w:r w:rsidRPr="001B4BD2">
              <w:t>Increased Medicaid spending to cover Medicare cost sharing for people with incomes up to 138%.</w:t>
            </w:r>
          </w:p>
        </w:tc>
      </w:tr>
    </w:tbl>
    <w:p w14:paraId="231757DE" w14:textId="16DB1730" w:rsidR="00EE2672" w:rsidRDefault="00EE2672" w:rsidP="00EE2672">
      <w:pPr>
        <w:pStyle w:val="Heading2"/>
      </w:pPr>
      <w:bookmarkStart w:id="15" w:name="_Toc226982638"/>
      <w:r>
        <w:t>Summary</w:t>
      </w:r>
      <w:bookmarkEnd w:id="15"/>
    </w:p>
    <w:p w14:paraId="292F1023" w14:textId="3A48A99D" w:rsidR="005E7606" w:rsidRDefault="005E7606" w:rsidP="005E7606">
      <w:r>
        <w:t>Medicaid generally requires minimal (if any) premiums or other cost sharing from the people enrolled in the program. In contrast, Medicare has monthly premiums, annual deductibles, and other significant cost sharing. I</w:t>
      </w:r>
      <w:r w:rsidRPr="28D6B40F">
        <w:t>n most states</w:t>
      </w:r>
      <w:r>
        <w:t xml:space="preserve">, </w:t>
      </w:r>
      <w:proofErr w:type="gramStart"/>
      <w:r>
        <w:t>a large number of</w:t>
      </w:r>
      <w:proofErr w:type="gramEnd"/>
      <w:r>
        <w:t xml:space="preserve"> people lose Medicaid when their Medicare starts. For affected individuals, the higher costs in Medicare amount to a financial shock</w:t>
      </w:r>
      <w:r w:rsidRPr="28D6B40F">
        <w:t xml:space="preserve">—a problem known as the "Medicare cliff." </w:t>
      </w:r>
    </w:p>
    <w:p w14:paraId="3F620DC4" w14:textId="77777777" w:rsidR="00751A30" w:rsidRDefault="00751A30">
      <w:pPr>
        <w:spacing w:after="160"/>
      </w:pPr>
      <w:r>
        <w:br w:type="page"/>
      </w:r>
    </w:p>
    <w:p w14:paraId="3EA675CA" w14:textId="1B2F4EA8" w:rsidR="00FB59D8" w:rsidRDefault="00F36BC7" w:rsidP="005E7606">
      <w:r>
        <w:rPr>
          <w:noProof/>
        </w:rPr>
        <mc:AlternateContent>
          <mc:Choice Requires="wps">
            <w:drawing>
              <wp:anchor distT="0" distB="0" distL="114300" distR="114300" simplePos="0" relativeHeight="251658263" behindDoc="1" locked="0" layoutInCell="1" allowOverlap="1" wp14:anchorId="3E99AD48" wp14:editId="48B961A3">
                <wp:simplePos x="0" y="0"/>
                <wp:positionH relativeFrom="margin">
                  <wp:align>left</wp:align>
                </wp:positionH>
                <wp:positionV relativeFrom="paragraph">
                  <wp:posOffset>287020</wp:posOffset>
                </wp:positionV>
                <wp:extent cx="5918200" cy="641350"/>
                <wp:effectExtent l="0" t="0" r="6350" b="6350"/>
                <wp:wrapNone/>
                <wp:docPr id="40881900" name="Rectangle: Rounded Corners 12"/>
                <wp:cNvGraphicFramePr/>
                <a:graphic xmlns:a="http://schemas.openxmlformats.org/drawingml/2006/main">
                  <a:graphicData uri="http://schemas.microsoft.com/office/word/2010/wordprocessingShape">
                    <wps:wsp>
                      <wps:cNvSpPr/>
                      <wps:spPr>
                        <a:xfrm>
                          <a:off x="0" y="0"/>
                          <a:ext cx="5918200" cy="64135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Rounded Corners 12" style="position:absolute;margin-left:0;margin-top:22.6pt;width:466pt;height:50.5pt;z-index:-2516582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386641 [3204]" stroked="f" strokeweight="1pt" arcsize="10923f" w14:anchorId="74C30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">
                <v:stroke joinstyle="miter"/>
                <w10:wrap anchorx="margin"/>
              </v:roundrect>
            </w:pict>
          </mc:Fallback>
        </mc:AlternateContent>
      </w:r>
      <w:r w:rsidR="005E7606" w:rsidRPr="348522C3">
        <w:t xml:space="preserve">As one interviewee put it after experiencing the Medicare cliff: </w:t>
      </w:r>
    </w:p>
    <w:p w14:paraId="0D8AD560" w14:textId="2352E84C" w:rsidR="005E7606" w:rsidRPr="00F36BC7" w:rsidRDefault="005E7606" w:rsidP="00F36BC7">
      <w:pPr>
        <w:pStyle w:val="PullQuote"/>
        <w:spacing w:after="480"/>
        <w:rPr>
          <w:color w:val="FFFFFF" w:themeColor="background1"/>
        </w:rPr>
      </w:pPr>
      <w:r w:rsidRPr="00F36BC7">
        <w:rPr>
          <w:color w:val="FFFFFF" w:themeColor="background1"/>
        </w:rPr>
        <w:t>“When I hit whatever magic age it was, when I could collect Medicare, they pulled the rug out from under me.”</w:t>
      </w:r>
      <w:r w:rsidRPr="00F36BC7">
        <w:rPr>
          <w:color w:val="FFFFFF" w:themeColor="background1"/>
          <w:sz w:val="18"/>
          <w:szCs w:val="18"/>
          <w:vertAlign w:val="superscript"/>
        </w:rPr>
        <w:endnoteReference w:id="50"/>
      </w:r>
    </w:p>
    <w:p w14:paraId="071E165C" w14:textId="2EF168C8" w:rsidR="005E7606" w:rsidRDefault="005E7606" w:rsidP="005E7606">
      <w:r>
        <w:t xml:space="preserve">The Medicare Savings Programs (MSPs) cover certain Medicare costs for people with low income. Medicare beneficiaries </w:t>
      </w:r>
      <w:r w:rsidRPr="28D6B40F">
        <w:t>with incomes at or below 100% of the federal poverty level</w:t>
      </w:r>
      <w:r>
        <w:t xml:space="preserve"> (FPL) </w:t>
      </w:r>
      <w:r w:rsidRPr="28D6B40F">
        <w:t>qualify for coverage of Medicare Part A and B premiums and cost</w:t>
      </w:r>
      <w:r>
        <w:t xml:space="preserve"> </w:t>
      </w:r>
      <w:r w:rsidRPr="28D6B40F">
        <w:t>sharing through the Qualified Medicare Beneficiary (QMB) category.</w:t>
      </w:r>
      <w:r>
        <w:t xml:space="preserve"> But, in most states, Medicaid covers adults with incomes up to 138% of the </w:t>
      </w:r>
      <w:r w:rsidRPr="28D6B40F">
        <w:t>federal poverty level</w:t>
      </w:r>
      <w:r>
        <w:t xml:space="preserve"> before </w:t>
      </w:r>
      <w:r w:rsidRPr="106D6BFB">
        <w:t>they</w:t>
      </w:r>
      <w:r>
        <w:t xml:space="preserve"> </w:t>
      </w:r>
      <w:r w:rsidRPr="7E9116F1">
        <w:t>qualify</w:t>
      </w:r>
      <w:r>
        <w:t xml:space="preserve"> for Medicare. Therefore, one source of the Medicare cliff is a misalignment between the QMB category (up to 100% of the federal poverty level) and other Medicaid eligibility groups (up to 138%).</w:t>
      </w:r>
    </w:p>
    <w:p w14:paraId="1A35EE2B" w14:textId="2B1463CA" w:rsidR="005E7606" w:rsidRDefault="005E7606" w:rsidP="005E7606">
      <w:r>
        <w:t>T</w:t>
      </w:r>
      <w:r w:rsidRPr="2B1FB0E8">
        <w:t>he model state legislation</w:t>
      </w:r>
      <w:r>
        <w:t xml:space="preserve"> below, using flexibilities already available to state Medicaid agencies,</w:t>
      </w:r>
      <w:r>
        <w:rPr>
          <w:rStyle w:val="EndnoteReference"/>
          <w:rFonts w:ascii="Calibri" w:hAnsi="Calibri" w:cs="Calibri"/>
          <w:sz w:val="22"/>
          <w:szCs w:val="22"/>
        </w:rPr>
        <w:endnoteReference w:id="51"/>
      </w:r>
      <w:r w:rsidRPr="2E2E1E6F">
        <w:t xml:space="preserve"> </w:t>
      </w:r>
      <w:r>
        <w:t>would</w:t>
      </w:r>
      <w:r w:rsidRPr="2E2E1E6F">
        <w:t>:</w:t>
      </w:r>
    </w:p>
    <w:p w14:paraId="21FEA06B" w14:textId="0C97A824" w:rsidR="005E7606" w:rsidRPr="00A17B47" w:rsidRDefault="005E7606" w:rsidP="00073710">
      <w:pPr>
        <w:pStyle w:val="Bullets"/>
      </w:pPr>
      <w:r w:rsidRPr="00A17B47">
        <w:t>Flatten the Medicare cliff by covering Part A and B premiums and cost sharing through the QMB category for Medicare beneficiaries with incomes up to 138% of</w:t>
      </w:r>
      <w:r w:rsidRPr="00A17B47" w:rsidDel="0068145A">
        <w:t xml:space="preserve"> </w:t>
      </w:r>
      <w:r w:rsidRPr="00A17B47">
        <w:t>the federal poverty level,</w:t>
      </w:r>
    </w:p>
    <w:p w14:paraId="405CF692" w14:textId="71436843" w:rsidR="005E7606" w:rsidRPr="00A17B47" w:rsidRDefault="005E7606" w:rsidP="00073710">
      <w:pPr>
        <w:pStyle w:val="Bullets"/>
      </w:pPr>
      <w:r w:rsidRPr="00A17B47">
        <w:t>Cover Part B premiums through the fully federally funded Qualifying Individual</w:t>
      </w:r>
      <w:r w:rsidR="00A05B5E">
        <w:t xml:space="preserve">s </w:t>
      </w:r>
      <w:r w:rsidRPr="00A17B47">
        <w:t xml:space="preserve">(QI) category for Medicare beneficiaries with income between 138% and 186% of the federal poverty level, and </w:t>
      </w:r>
    </w:p>
    <w:p w14:paraId="496C26BD" w14:textId="77777777" w:rsidR="005E7606" w:rsidRPr="00A17B47" w:rsidRDefault="005E7606" w:rsidP="00073710">
      <w:pPr>
        <w:pStyle w:val="Bullets"/>
      </w:pPr>
      <w:r w:rsidRPr="00A17B47">
        <w:t>Simplify the MSPs by eliminating the Specified Low-Income Beneficiary Program (SLMB) category, because SLMB would be fully encompassed in the expanded QMB group.</w:t>
      </w:r>
    </w:p>
    <w:p w14:paraId="168C64C0" w14:textId="5B1E3876" w:rsidR="005E7606" w:rsidRDefault="003E4D8B" w:rsidP="003E4D8B">
      <w:pPr>
        <w:jc w:val="center"/>
      </w:pPr>
      <w:r>
        <w:rPr>
          <w:noProof/>
        </w:rPr>
        <w:drawing>
          <wp:inline distT="0" distB="0" distL="0" distR="0" wp14:anchorId="449F3BC0" wp14:editId="654E0B69">
            <wp:extent cx="5586220" cy="2807369"/>
            <wp:effectExtent l="0" t="0" r="4445" b="0"/>
            <wp:docPr id="711231733" name="Picture 19" descr="The current Medicare eligibility path and the proposed Medicare eligibility path for older adults and people with disabilities. The current path shows a drop in benefits once a person becomes eligible for Medicare. The proposed path shows the QMB increased to 138% FPL to retain the same level of benefi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31733" name="Picture 19" descr="The current Medicare eligibility path and the proposed Medicare eligibility path for older adults and people with disabilities. The current path shows a drop in benefits once a person becomes eligible for Medicare. The proposed path shows the QMB increased to 138% FPL to retain the same level of benefits.&#10;"/>
                    <pic:cNvPicPr/>
                  </pic:nvPicPr>
                  <pic:blipFill rotWithShape="1">
                    <a:blip r:embed="rId44">
                      <a:extLst>
                        <a:ext uri="{28A0092B-C50C-407E-A947-70E740481C1C}">
                          <a14:useLocalDpi xmlns:a14="http://schemas.microsoft.com/office/drawing/2010/main" val="0"/>
                        </a:ext>
                      </a:extLst>
                    </a:blip>
                    <a:srcRect l="11203" t="9597" r="6327" b="16722"/>
                    <a:stretch>
                      <a:fillRect/>
                    </a:stretch>
                  </pic:blipFill>
                  <pic:spPr bwMode="auto">
                    <a:xfrm>
                      <a:off x="0" y="0"/>
                      <a:ext cx="5586220" cy="2807369"/>
                    </a:xfrm>
                    <a:prstGeom prst="rect">
                      <a:avLst/>
                    </a:prstGeom>
                    <a:ln>
                      <a:noFill/>
                    </a:ln>
                    <a:extLst>
                      <a:ext uri="{53640926-AAD7-44D8-BBD7-CCE9431645EC}">
                        <a14:shadowObscured xmlns:a14="http://schemas.microsoft.com/office/drawing/2010/main"/>
                      </a:ext>
                    </a:extLst>
                  </pic:spPr>
                </pic:pic>
              </a:graphicData>
            </a:graphic>
          </wp:inline>
        </w:drawing>
      </w:r>
    </w:p>
    <w:p w14:paraId="1226587E" w14:textId="77777777" w:rsidR="005E7606" w:rsidRPr="00A30D78" w:rsidRDefault="005E7606" w:rsidP="005E7606">
      <w:r w:rsidRPr="0B05BACB">
        <w:t xml:space="preserve">This model policy does not include the </w:t>
      </w:r>
      <w:r>
        <w:t>Qualified Disabled Working Individuals (</w:t>
      </w:r>
      <w:r w:rsidRPr="0B05BACB">
        <w:t>QDWI</w:t>
      </w:r>
      <w:r>
        <w:t>)</w:t>
      </w:r>
      <w:r w:rsidRPr="0B05BACB">
        <w:t xml:space="preserve"> category because the flexibilities that allow states to make changes to QMB, SLMB, and QI categories do not apply to QDWI.</w:t>
      </w:r>
    </w:p>
    <w:p w14:paraId="641D829C" w14:textId="77777777" w:rsidR="005E7606" w:rsidRPr="00A30D78" w:rsidRDefault="005E7606" w:rsidP="005E7606">
      <w:r>
        <w:t>States must obtain federal approval for this policy, but the process is routine</w:t>
      </w:r>
      <w:r w:rsidRPr="0B05BACB">
        <w:t xml:space="preserve">. It just requires </w:t>
      </w:r>
      <w:r>
        <w:t>a standard amendment to their State Medicaid Plan.</w:t>
      </w:r>
    </w:p>
    <w:p w14:paraId="2FC1E0F7" w14:textId="6C76A97A" w:rsidR="005E7606" w:rsidRPr="00984EE8" w:rsidRDefault="005E7606" w:rsidP="00984EE8">
      <w:pPr>
        <w:pStyle w:val="BlueEmphasis"/>
        <w:rPr>
          <w:b w:val="0"/>
          <w:bCs/>
        </w:rPr>
      </w:pPr>
      <w:r w:rsidRPr="00984EE8">
        <w:rPr>
          <w:rStyle w:val="Emphasis"/>
          <w:b/>
          <w:bCs w:val="0"/>
        </w:rPr>
        <w:t xml:space="preserve">Where this </w:t>
      </w:r>
      <w:r w:rsidR="00C12D8C" w:rsidRPr="00984EE8">
        <w:rPr>
          <w:rStyle w:val="Emphasis"/>
          <w:b/>
          <w:bCs w:val="0"/>
        </w:rPr>
        <w:t xml:space="preserve">model </w:t>
      </w:r>
      <w:r w:rsidRPr="00984EE8">
        <w:rPr>
          <w:rStyle w:val="Emphasis"/>
          <w:b/>
          <w:bCs w:val="0"/>
        </w:rPr>
        <w:t xml:space="preserve">policy </w:t>
      </w:r>
      <w:r w:rsidR="00C12D8C" w:rsidRPr="00984EE8">
        <w:rPr>
          <w:rStyle w:val="Emphasis"/>
          <w:b/>
          <w:bCs w:val="0"/>
        </w:rPr>
        <w:t>c</w:t>
      </w:r>
      <w:r w:rsidRPr="00984EE8">
        <w:rPr>
          <w:rStyle w:val="Emphasis"/>
          <w:b/>
          <w:bCs w:val="0"/>
        </w:rPr>
        <w:t>ould apply:</w:t>
      </w:r>
      <w:r w:rsidR="003400B8" w:rsidRPr="00984EE8">
        <w:rPr>
          <w:b w:val="0"/>
          <w:bCs/>
        </w:rPr>
        <w:t xml:space="preserve"> </w:t>
      </w:r>
      <w:r w:rsidRPr="00984EE8">
        <w:rPr>
          <w:b w:val="0"/>
          <w:bCs/>
        </w:rPr>
        <w:t xml:space="preserve"> </w:t>
      </w:r>
    </w:p>
    <w:p w14:paraId="642BD8B7" w14:textId="7C56FA01" w:rsidR="005E7606" w:rsidRDefault="005E7606" w:rsidP="00EE2672">
      <w:r>
        <w:t>One state (</w:t>
      </w:r>
      <w:r w:rsidRPr="00CE1369">
        <w:t>New York</w:t>
      </w:r>
      <w:r>
        <w:rPr>
          <w:rStyle w:val="EndnoteReference"/>
          <w:rFonts w:ascii="Calibri" w:hAnsi="Calibri" w:cs="Calibri"/>
          <w:sz w:val="22"/>
          <w:szCs w:val="22"/>
        </w:rPr>
        <w:endnoteReference w:id="52"/>
      </w:r>
      <w:r>
        <w:t xml:space="preserve">) </w:t>
      </w:r>
      <w:r w:rsidRPr="00CE1369">
        <w:t>ha</w:t>
      </w:r>
      <w:r>
        <w:t>s</w:t>
      </w:r>
      <w:r w:rsidRPr="00CE1369">
        <w:t xml:space="preserve"> established MSP criteria consistent with this model policy already. </w:t>
      </w:r>
      <w:r>
        <w:t>Five</w:t>
      </w:r>
      <w:r w:rsidRPr="00CE1369">
        <w:t xml:space="preserve"> other states (Connecticut</w:t>
      </w:r>
      <w:r>
        <w:rPr>
          <w:rStyle w:val="EndnoteReference"/>
          <w:rFonts w:ascii="Calibri" w:hAnsi="Calibri" w:cs="Calibri"/>
          <w:sz w:val="22"/>
          <w:szCs w:val="22"/>
        </w:rPr>
        <w:endnoteReference w:id="53"/>
      </w:r>
      <w:r w:rsidRPr="00CE1369">
        <w:t>, Indiana</w:t>
      </w:r>
      <w:r>
        <w:rPr>
          <w:rStyle w:val="EndnoteReference"/>
          <w:rFonts w:ascii="Calibri" w:hAnsi="Calibri" w:cs="Calibri"/>
          <w:sz w:val="22"/>
          <w:szCs w:val="22"/>
        </w:rPr>
        <w:endnoteReference w:id="54"/>
      </w:r>
      <w:r w:rsidRPr="00CE1369">
        <w:t>,</w:t>
      </w:r>
      <w:r>
        <w:t xml:space="preserve"> Maine</w:t>
      </w:r>
      <w:r>
        <w:rPr>
          <w:rStyle w:val="EndnoteReference"/>
          <w:rFonts w:ascii="Calibri" w:hAnsi="Calibri" w:cs="Calibri"/>
          <w:sz w:val="22"/>
          <w:szCs w:val="22"/>
        </w:rPr>
        <w:endnoteReference w:id="55"/>
      </w:r>
      <w:r>
        <w:t xml:space="preserve">, </w:t>
      </w:r>
      <w:r w:rsidRPr="00CE1369">
        <w:t>Massachusetts</w:t>
      </w:r>
      <w:r>
        <w:rPr>
          <w:rStyle w:val="EndnoteReference"/>
          <w:rFonts w:ascii="Calibri" w:hAnsi="Calibri" w:cs="Calibri"/>
          <w:sz w:val="22"/>
          <w:szCs w:val="22"/>
        </w:rPr>
        <w:endnoteReference w:id="56"/>
      </w:r>
      <w:r>
        <w:t xml:space="preserve"> and Vermont</w:t>
      </w:r>
      <w:r>
        <w:rPr>
          <w:rStyle w:val="EndnoteReference"/>
          <w:rFonts w:ascii="Calibri" w:hAnsi="Calibri" w:cs="Calibri"/>
          <w:sz w:val="22"/>
          <w:szCs w:val="22"/>
        </w:rPr>
        <w:endnoteReference w:id="57"/>
      </w:r>
      <w:r w:rsidRPr="00CE1369">
        <w:t>) and the District of Columbia</w:t>
      </w:r>
      <w:r>
        <w:rPr>
          <w:rStyle w:val="EndnoteReference"/>
          <w:rFonts w:ascii="Calibri" w:hAnsi="Calibri" w:cs="Calibri"/>
          <w:sz w:val="22"/>
          <w:szCs w:val="22"/>
        </w:rPr>
        <w:endnoteReference w:id="58"/>
      </w:r>
      <w:r w:rsidRPr="00CE1369">
        <w:t xml:space="preserve"> already use more generous criteria than this model policy. Therefore, this model policy only improves access to the MSPs in the remaining states</w:t>
      </w:r>
      <w:r>
        <w:t>.</w:t>
      </w:r>
      <w:r w:rsidRPr="00586D10">
        <w:rPr>
          <w:rStyle w:val="EndnoteReference"/>
          <w:rFonts w:ascii="Calibri" w:hAnsi="Calibri" w:cs="Calibri"/>
          <w:sz w:val="22"/>
          <w:szCs w:val="22"/>
        </w:rPr>
        <w:t xml:space="preserve"> </w:t>
      </w:r>
    </w:p>
    <w:p w14:paraId="0EDEFE85" w14:textId="77777777" w:rsidR="007176D2" w:rsidRPr="00944B09" w:rsidRDefault="007176D2" w:rsidP="007176D2">
      <w:pPr>
        <w:rPr>
          <w:rFonts w:cs="Tahoma"/>
          <w:b/>
        </w:rPr>
      </w:pPr>
      <w:r w:rsidRPr="00944B09">
        <w:rPr>
          <w:rFonts w:cs="Tahoma"/>
          <w:b/>
        </w:rPr>
        <w:t xml:space="preserve">History for this </w:t>
      </w:r>
      <w:r w:rsidRPr="00944B09">
        <w:rPr>
          <w:rFonts w:cs="Tahoma"/>
          <w:b/>
          <w:bCs/>
        </w:rPr>
        <w:t>model policy:</w:t>
      </w:r>
      <w:r>
        <w:rPr>
          <w:rFonts w:cs="Tahoma"/>
          <w:b/>
          <w:bCs/>
        </w:rPr>
        <w:br/>
      </w:r>
      <w:r>
        <w:t>First published: 05/11/2026 (draft)</w:t>
      </w:r>
      <w:r>
        <w:rPr>
          <w:rFonts w:cs="Tahoma"/>
          <w:b/>
          <w:bCs/>
        </w:rPr>
        <w:br/>
      </w:r>
      <w:r>
        <w:t>Modified: N/A</w:t>
      </w:r>
    </w:p>
    <w:p w14:paraId="38DF8E1C" w14:textId="77777777" w:rsidR="00EE2672" w:rsidRDefault="00EE2672" w:rsidP="00EE2672">
      <w:pPr>
        <w:spacing w:after="160"/>
      </w:pPr>
      <w:r>
        <w:br w:type="page"/>
      </w:r>
    </w:p>
    <w:p w14:paraId="735BA096" w14:textId="77777777" w:rsidR="00EE2672" w:rsidRDefault="00EE2672" w:rsidP="00EE2672">
      <w:pPr>
        <w:pStyle w:val="Heading2"/>
      </w:pPr>
      <w:bookmarkStart w:id="16" w:name="_Toc226982639"/>
      <w:r>
        <w:t>Model Legislative Text</w:t>
      </w:r>
      <w:bookmarkEnd w:id="16"/>
    </w:p>
    <w:p w14:paraId="102FB9D6" w14:textId="77777777" w:rsidR="00C41E30" w:rsidRDefault="00C41E30" w:rsidP="00C41E30">
      <w:pPr>
        <w:pStyle w:val="LegislativeText"/>
      </w:pPr>
      <w:r w:rsidRPr="07C76561">
        <w:t>WHEREAS [state residents] moving from Medicaid to Medicare often can face higher costs in the form of Medicare premiums and cost</w:t>
      </w:r>
      <w:r>
        <w:t xml:space="preserve"> </w:t>
      </w:r>
      <w:r w:rsidRPr="07C76561">
        <w:t>sharing</w:t>
      </w:r>
      <w:r>
        <w:t>.</w:t>
      </w:r>
    </w:p>
    <w:p w14:paraId="1A72A7B0" w14:textId="77777777" w:rsidR="00C41E30" w:rsidRDefault="00C41E30" w:rsidP="00C41E30">
      <w:pPr>
        <w:pStyle w:val="LegislativeText"/>
      </w:pPr>
      <w:r w:rsidRPr="07C76561">
        <w:t>WHEREAS Medicare beneficiaries may qualify for Medicaid coverage of these costs through the Qualified Medicare Beneficiary eligibility group</w:t>
      </w:r>
      <w:r>
        <w:t>.</w:t>
      </w:r>
    </w:p>
    <w:p w14:paraId="48343163" w14:textId="77777777" w:rsidR="00C41E30" w:rsidRPr="00820394" w:rsidRDefault="00C41E30" w:rsidP="00C41E30">
      <w:pPr>
        <w:pStyle w:val="LegislativeText"/>
      </w:pPr>
      <w:r w:rsidRPr="00820394">
        <w:t>WHEREAS Medicare beneficiaries who lose Medicaid struggle with health care costs and may delay or skip the care they need, taking a toll on their health and financial security</w:t>
      </w:r>
      <w:r>
        <w:t>.</w:t>
      </w:r>
    </w:p>
    <w:p w14:paraId="568A1175" w14:textId="77777777" w:rsidR="00C41E30" w:rsidRDefault="00C41E30" w:rsidP="00C41E30">
      <w:pPr>
        <w:pStyle w:val="LegislativeText"/>
      </w:pPr>
      <w:r w:rsidRPr="07C76561">
        <w:t>WHEREAS other states have expanded eligibility for Qualified Medicare Beneficiar</w:t>
      </w:r>
      <w:r>
        <w:t xml:space="preserve">ies </w:t>
      </w:r>
      <w:r w:rsidRPr="07C76561">
        <w:t xml:space="preserve">to 138% of the federal poverty </w:t>
      </w:r>
      <w:r>
        <w:t>level</w:t>
      </w:r>
      <w:r w:rsidRPr="07C76561">
        <w:t xml:space="preserve"> or higher</w:t>
      </w:r>
      <w:r>
        <w:t>.</w:t>
      </w:r>
    </w:p>
    <w:p w14:paraId="09E2DAC7" w14:textId="77777777" w:rsidR="00C41E30" w:rsidRDefault="00C41E30" w:rsidP="00C41E30">
      <w:pPr>
        <w:pStyle w:val="LegislativeText"/>
      </w:pPr>
      <w:r w:rsidRPr="28D6B40F">
        <w:t xml:space="preserve">BE IT </w:t>
      </w:r>
      <w:r>
        <w:t>ENACTED</w:t>
      </w:r>
      <w:r w:rsidRPr="28D6B40F">
        <w:t xml:space="preserve"> that:</w:t>
      </w:r>
    </w:p>
    <w:p w14:paraId="304F70E0" w14:textId="77777777" w:rsidR="00C41E30" w:rsidRDefault="00C41E30" w:rsidP="00C41E30">
      <w:pPr>
        <w:pStyle w:val="LegislativeText"/>
      </w:pPr>
      <w:r w:rsidRPr="74A391D6">
        <w:t>[Agency</w:t>
      </w:r>
      <w:r w:rsidRPr="28D6B40F">
        <w:t xml:space="preserve"> or agency head] shall seek approval from the Centers for Medicare &amp; Medicaid Services as necessary to</w:t>
      </w:r>
      <w:r>
        <w:t>, effective no later than [date]:</w:t>
      </w:r>
    </w:p>
    <w:p w14:paraId="7EB58EC2" w14:textId="77777777" w:rsidR="00C41E30" w:rsidRPr="00244FA2" w:rsidRDefault="00C41E30" w:rsidP="00244FA2">
      <w:pPr>
        <w:pStyle w:val="Bullets"/>
        <w:rPr>
          <w:rFonts w:ascii="Times New Roman" w:hAnsi="Times New Roman" w:cs="Times New Roman"/>
        </w:rPr>
      </w:pPr>
      <w:r w:rsidRPr="00244FA2">
        <w:rPr>
          <w:rFonts w:ascii="Times New Roman" w:hAnsi="Times New Roman" w:cs="Times New Roman"/>
        </w:rPr>
        <w:t xml:space="preserve">Eliminate Medicare cost-sharing obligations for additional [state residents] by disregarding, for the Qualified Medicare Beneficiary (QMB) group, countable income equal to 38% of the maximum federal income standard for that group (100% of the federal poverty level), thereby effectively increasing the QMB eligibility group income limit to 138% of the federal poverty level and eliminating the need for enrollment in the Specified Low-Income Beneficiary (SLMB) eligibility group, and </w:t>
      </w:r>
    </w:p>
    <w:p w14:paraId="1632A6E2" w14:textId="77777777" w:rsidR="00C41E30" w:rsidRPr="00244FA2" w:rsidRDefault="00C41E30" w:rsidP="00244FA2">
      <w:pPr>
        <w:pStyle w:val="Bullets"/>
        <w:rPr>
          <w:rFonts w:ascii="Times New Roman" w:hAnsi="Times New Roman" w:cs="Times New Roman"/>
        </w:rPr>
      </w:pPr>
      <w:r w:rsidRPr="00244FA2">
        <w:rPr>
          <w:rFonts w:ascii="Times New Roman" w:hAnsi="Times New Roman" w:cs="Times New Roman"/>
        </w:rPr>
        <w:t>Extend Part B premium coverage for additional [state residents] by disregarding, for the Qualifying Individual (QI) group, countable income equal to 38% of the maximum federal income standard for that group (135% of the federal poverty level), thereby effectively increasing the income range for the QI eligibility group to between 138% to 186% of the federal poverty level.</w:t>
      </w:r>
    </w:p>
    <w:p w14:paraId="135E65FD" w14:textId="77777777" w:rsidR="00C41E30" w:rsidRDefault="00C41E30" w:rsidP="00C41E30">
      <w:pPr>
        <w:pStyle w:val="LegislativeText"/>
      </w:pPr>
      <w:r w:rsidRPr="005D2C77">
        <w:t xml:space="preserve">To the extent permitted by the Centers for Medicare &amp; Medicaid Services, on the effective date of federal approval, [agency or agency head] shall automatically enroll SLMBs and QIs into the </w:t>
      </w:r>
      <w:r>
        <w:t>newly</w:t>
      </w:r>
      <w:r w:rsidRPr="000240A6">
        <w:t xml:space="preserve"> </w:t>
      </w:r>
      <w:r>
        <w:t xml:space="preserve">expanded </w:t>
      </w:r>
      <w:r w:rsidRPr="005D2C77">
        <w:t>QMB eligibility group without requiring any action by the individual.</w:t>
      </w:r>
    </w:p>
    <w:p w14:paraId="42862619" w14:textId="77777777" w:rsidR="00C41E30" w:rsidRPr="00D557AA" w:rsidRDefault="00C41E30" w:rsidP="00C41E30">
      <w:pPr>
        <w:pStyle w:val="LegislativeText"/>
      </w:pPr>
      <w:r w:rsidRPr="00D557AA">
        <w:t>Upon approval by the Centers for Medicare &amp; Medicaid Services of the change, [agency or agency head] shall</w:t>
      </w:r>
      <w:r>
        <w:t xml:space="preserve"> promptly</w:t>
      </w:r>
      <w:r w:rsidRPr="00D557AA">
        <w:t>:</w:t>
      </w:r>
    </w:p>
    <w:p w14:paraId="2F7077B5" w14:textId="77777777" w:rsidR="00C41E30" w:rsidRPr="00244FA2" w:rsidRDefault="00C41E30" w:rsidP="00244FA2">
      <w:pPr>
        <w:pStyle w:val="Bullets"/>
        <w:rPr>
          <w:rFonts w:ascii="Times New Roman" w:hAnsi="Times New Roman" w:cs="Times New Roman"/>
        </w:rPr>
      </w:pPr>
      <w:r w:rsidRPr="00244FA2">
        <w:rPr>
          <w:rFonts w:ascii="Times New Roman" w:hAnsi="Times New Roman" w:cs="Times New Roman"/>
        </w:rPr>
        <w:t>Update state regulation, operational guidance, and eligibility and enrollment systems as necessary to implement the change,</w:t>
      </w:r>
    </w:p>
    <w:p w14:paraId="08AD2071" w14:textId="77777777" w:rsidR="00C41E30" w:rsidRPr="00244FA2" w:rsidRDefault="00C41E30" w:rsidP="00244FA2">
      <w:pPr>
        <w:pStyle w:val="Bullets"/>
        <w:rPr>
          <w:rFonts w:ascii="Times New Roman" w:hAnsi="Times New Roman" w:cs="Times New Roman"/>
        </w:rPr>
      </w:pPr>
      <w:r w:rsidRPr="00244FA2">
        <w:rPr>
          <w:rFonts w:ascii="Times New Roman" w:hAnsi="Times New Roman" w:cs="Times New Roman"/>
        </w:rPr>
        <w:t>Notify individuals newly moved into the QMB group that they will no longer have cost-sharing obligations for Medicare-covered Part A or B services, and</w:t>
      </w:r>
    </w:p>
    <w:p w14:paraId="74C23FAD" w14:textId="77777777" w:rsidR="00C41E30" w:rsidRPr="00244FA2" w:rsidRDefault="00C41E30" w:rsidP="00244FA2">
      <w:pPr>
        <w:pStyle w:val="Bullets"/>
        <w:rPr>
          <w:rFonts w:ascii="Times New Roman" w:hAnsi="Times New Roman" w:cs="Times New Roman"/>
        </w:rPr>
      </w:pPr>
      <w:r w:rsidRPr="00244FA2">
        <w:rPr>
          <w:rFonts w:ascii="Times New Roman" w:hAnsi="Times New Roman" w:cs="Times New Roman"/>
        </w:rPr>
        <w:t xml:space="preserve">Promptly revise notices, forms, and other communications as needed to reflect Medicare Savings Program eligibility changes. </w:t>
      </w:r>
    </w:p>
    <w:p w14:paraId="51D5E11E" w14:textId="54BDBC06" w:rsidR="00EE2672" w:rsidRDefault="00C41E30" w:rsidP="00C41E30">
      <w:pPr>
        <w:pStyle w:val="LegislativeText"/>
      </w:pPr>
      <w:r w:rsidRPr="00D557AA">
        <w:t xml:space="preserve">Nothing in this [legislation] is intended to require state expenditures that </w:t>
      </w:r>
      <w:r>
        <w:t>c</w:t>
      </w:r>
      <w:r w:rsidRPr="00D557AA">
        <w:t>ould</w:t>
      </w:r>
      <w:r>
        <w:t xml:space="preserve"> </w:t>
      </w:r>
      <w:r w:rsidRPr="00D557AA">
        <w:t>not be federally matched as part of the Medicaid program.</w:t>
      </w:r>
    </w:p>
    <w:p w14:paraId="152A2361" w14:textId="77777777" w:rsidR="00EE2672" w:rsidRDefault="00EE2672" w:rsidP="00EE2672">
      <w:r>
        <w:br w:type="page"/>
      </w:r>
    </w:p>
    <w:p w14:paraId="0C9BEDCC" w14:textId="77777777" w:rsidR="00EE2672" w:rsidRDefault="00EE2672" w:rsidP="00EE2672">
      <w:pPr>
        <w:pStyle w:val="Heading2"/>
      </w:pPr>
      <w:bookmarkStart w:id="17" w:name="_Toc226982640"/>
      <w:r>
        <w:t>Analysis</w:t>
      </w:r>
      <w:bookmarkEnd w:id="17"/>
    </w:p>
    <w:p w14:paraId="54FE6F5E" w14:textId="3969C9E5" w:rsidR="00EE2672" w:rsidRDefault="00EE2672" w:rsidP="00EE2672">
      <w:pPr>
        <w:pStyle w:val="Heading3"/>
      </w:pPr>
      <w:r w:rsidRPr="470F163D">
        <w:t>Primary effects:</w:t>
      </w:r>
    </w:p>
    <w:p w14:paraId="519AFFF1" w14:textId="5F4CC9B5" w:rsidR="00EF5B11" w:rsidRPr="00FC15BF" w:rsidRDefault="00EF5B11" w:rsidP="00EF5B11">
      <w:pPr>
        <w:rPr>
          <w:b/>
          <w:bCs/>
        </w:rPr>
      </w:pPr>
      <w:r w:rsidRPr="006F0533">
        <w:rPr>
          <w:rStyle w:val="Emphasis"/>
        </w:rPr>
        <w:t>Eliminate Medicare cost sharing for current MSP beneficiaries.</w:t>
      </w:r>
      <w:r w:rsidRPr="00AC6BC7">
        <w:rPr>
          <w:b/>
          <w:bCs/>
        </w:rPr>
        <w:t xml:space="preserve"> </w:t>
      </w:r>
      <w:r w:rsidRPr="00AC6BC7">
        <w:t>Raising the QMB income limit to 138% of the federal poverty level extends cost-sharing protections to all current MSP beneficiaries. Currently, SLMBs (individuals with incomes between 100% and 120% of the federal poverty level) and QIs (individuals with incomes between 120% and 135% of the federal poverty level) only have their Part B premiums covered and are liable for Medicare cost sharing. Under this option, the SLMBs and QIs in the state—tens of thousands of people in most states—simultaneously become exempt from Medicare cost sharing.</w:t>
      </w:r>
    </w:p>
    <w:p w14:paraId="42598F60" w14:textId="77777777" w:rsidR="00EF5B11" w:rsidRPr="00AC6BC7" w:rsidRDefault="00EF5B11" w:rsidP="00EF5B11">
      <w:r w:rsidRPr="006F0533">
        <w:rPr>
          <w:rStyle w:val="Emphasis"/>
        </w:rPr>
        <w:t>Eliminate Part B premiums for additional people with low income.</w:t>
      </w:r>
      <w:r w:rsidRPr="00AC6BC7">
        <w:t xml:space="preserve"> Raising the QI income limit from 135% to 186% of the federal poverty level allows more people to qualify for MSP coverage of their Part B premiums. </w:t>
      </w:r>
    </w:p>
    <w:p w14:paraId="6757CB76" w14:textId="7E4D96A2" w:rsidR="00EF5B11" w:rsidRPr="00AC6BC7" w:rsidRDefault="00EF5B11" w:rsidP="00EF5B11">
      <w:r w:rsidRPr="006F0533">
        <w:rPr>
          <w:rStyle w:val="Emphasis"/>
        </w:rPr>
        <w:t>Reduce coverage gaps and financial shocks when Medicaid beneficiaries transition to Medicare.</w:t>
      </w:r>
      <w:r w:rsidRPr="00AC6BC7">
        <w:t xml:space="preserve"> When low-income adults on Medicaid enroll in Medicare, many become eligible for full coverage of Medicare Part A and B premiums and cost sharing through QMB. </w:t>
      </w:r>
      <w:r w:rsidRPr="00677E3E">
        <w:t xml:space="preserve">Because the QMB income eligibility threshold is set at 100% of the federal poverty level in most states, while the Medicaid expansion group for adults </w:t>
      </w:r>
      <w:r w:rsidRPr="00677E3E" w:rsidDel="00A45EAC">
        <w:t xml:space="preserve">is set at 138%, individuals with incomes </w:t>
      </w:r>
      <w:r w:rsidRPr="00677E3E">
        <w:t>between</w:t>
      </w:r>
      <w:r w:rsidRPr="00677E3E" w:rsidDel="00A45EAC">
        <w:t xml:space="preserve"> 100% and 138% of the federal poverty level do not qualify for QMB and </w:t>
      </w:r>
      <w:r w:rsidRPr="00677E3E" w:rsidDel="00790849">
        <w:t>are liable for</w:t>
      </w:r>
      <w:r w:rsidRPr="00677E3E">
        <w:t xml:space="preserve"> Medicare premiums and cost sharing. The transition for these individuals is commonly referred to as the "Medicare cliff.”</w:t>
      </w:r>
      <w:r w:rsidRPr="00677E3E">
        <w:rPr>
          <w:rStyle w:val="EndnoteReference"/>
          <w:rFonts w:ascii="Calibri" w:hAnsi="Calibri" w:cs="Calibri"/>
          <w:sz w:val="22"/>
          <w:szCs w:val="22"/>
        </w:rPr>
        <w:endnoteReference w:id="59"/>
      </w:r>
      <w:r w:rsidRPr="00677E3E">
        <w:t xml:space="preserve"> By increasing the QMB income limit to 138% of the federal poverty level, individuals within this income range would avoid onerous Medicare costs that may coincide with rising health needs.</w:t>
      </w:r>
    </w:p>
    <w:p w14:paraId="68BDF68F" w14:textId="77777777" w:rsidR="00EF5B11" w:rsidRPr="00AC6BC7" w:rsidRDefault="00EF5B11" w:rsidP="00EF5B11">
      <w:r w:rsidRPr="006F0533">
        <w:rPr>
          <w:rStyle w:val="Emphasis"/>
        </w:rPr>
        <w:t xml:space="preserve">Improve access to treatment and save lives. </w:t>
      </w:r>
      <w:r w:rsidRPr="00AC6BC7">
        <w:t>New research shows that losing Medicaid coverage after qualifying for Medicare leads to worse health, higher mortality, increased out-of-pocket costs, and reduced use of preventive care compared to those who retain Medicaid after qualifying for Medicare.</w:t>
      </w:r>
      <w:r>
        <w:rPr>
          <w:rStyle w:val="EndnoteReference"/>
          <w:rFonts w:ascii="Calibri" w:hAnsi="Calibri" w:cs="Calibri"/>
          <w:sz w:val="22"/>
          <w:szCs w:val="22"/>
        </w:rPr>
        <w:endnoteReference w:id="60"/>
      </w:r>
      <w:r w:rsidRPr="00AC6BC7">
        <w:t xml:space="preserve"> Expanding QMB coverage can reduce these negative outcomes, including by enabling low-income Medicare beneficiaries to start treatment sooner</w:t>
      </w:r>
      <w:r w:rsidRPr="000240A6">
        <w:rPr>
          <w:rStyle w:val="EndnoteReference"/>
          <w:rFonts w:ascii="Calibri" w:hAnsi="Calibri" w:cs="Calibri"/>
          <w:sz w:val="22"/>
          <w:szCs w:val="22"/>
        </w:rPr>
        <w:endnoteReference w:id="61"/>
      </w:r>
      <w:r w:rsidRPr="00AC6BC7">
        <w:t xml:space="preserve"> and better adhere to medical treatment.</w:t>
      </w:r>
      <w:r w:rsidRPr="000240A6">
        <w:rPr>
          <w:rStyle w:val="EndnoteReference"/>
          <w:rFonts w:ascii="Calibri" w:hAnsi="Calibri" w:cs="Calibri"/>
          <w:sz w:val="22"/>
          <w:szCs w:val="22"/>
        </w:rPr>
        <w:endnoteReference w:id="62"/>
      </w:r>
      <w:r w:rsidRPr="00AC6BC7">
        <w:t xml:space="preserve"> MSPs can save lives by automatically enrolling beneficiaries in Part D drug subsidies, so they don’t need to choose between medication and basic needs.</w:t>
      </w:r>
      <w:r w:rsidRPr="006F0533">
        <w:rPr>
          <w:rStyle w:val="EndnoteReference"/>
          <w:rFonts w:ascii="Calibri" w:hAnsi="Calibri" w:cs="Calibri"/>
          <w:sz w:val="22"/>
          <w:szCs w:val="22"/>
        </w:rPr>
        <w:endnoteReference w:id="63"/>
      </w:r>
      <w:r w:rsidRPr="006F0533">
        <w:t xml:space="preserve"> </w:t>
      </w:r>
      <w:r w:rsidRPr="00AC6BC7">
        <w:t xml:space="preserve"> </w:t>
      </w:r>
    </w:p>
    <w:p w14:paraId="15234E95" w14:textId="77777777" w:rsidR="00EF5B11" w:rsidRPr="00BA10B0" w:rsidRDefault="00EF5B11" w:rsidP="00EF5B11">
      <w:r w:rsidRPr="006F0533">
        <w:rPr>
          <w:rStyle w:val="Emphasis"/>
        </w:rPr>
        <w:t>Reduce financial strain and support independence.</w:t>
      </w:r>
      <w:r w:rsidRPr="00BA10B0">
        <w:rPr>
          <w:b/>
          <w:bCs/>
        </w:rPr>
        <w:t xml:space="preserve"> </w:t>
      </w:r>
      <w:r w:rsidRPr="00BA10B0">
        <w:t xml:space="preserve">Expanding access to MSPs can improve the economic security and independence of older adults and people with disabilities with limited incomes: </w:t>
      </w:r>
    </w:p>
    <w:p w14:paraId="0436007F" w14:textId="77777777" w:rsidR="00EF5B11" w:rsidRPr="00AC6BC7" w:rsidRDefault="00EF5B11" w:rsidP="000A486D">
      <w:pPr>
        <w:pStyle w:val="Bullets"/>
      </w:pPr>
      <w:r w:rsidRPr="00AC6BC7">
        <w:t>The Medicare Part B premium ($202.90/month in 2026) is usually withheld from Social Security checks.</w:t>
      </w:r>
      <w:r w:rsidRPr="000A486D">
        <w:rPr>
          <w:rFonts w:ascii="Calibri" w:hAnsi="Calibri" w:cs="Calibri"/>
          <w:sz w:val="22"/>
          <w:szCs w:val="22"/>
          <w:vertAlign w:val="superscript"/>
        </w:rPr>
        <w:endnoteReference w:id="64"/>
      </w:r>
      <w:r w:rsidRPr="000A486D">
        <w:t xml:space="preserve"> </w:t>
      </w:r>
      <w:r w:rsidRPr="00AC6BC7">
        <w:t>Enrolling in an MSP stops this deduction, enabling individuals to keep more of their income for food, rent, utilities, and other necessities and promoting dignity and independence.</w:t>
      </w:r>
      <w:r w:rsidRPr="000A486D">
        <w:rPr>
          <w:rFonts w:ascii="Calibri" w:hAnsi="Calibri" w:cs="Calibri"/>
          <w:sz w:val="22"/>
          <w:szCs w:val="22"/>
          <w:vertAlign w:val="superscript"/>
        </w:rPr>
        <w:endnoteReference w:id="65"/>
      </w:r>
    </w:p>
    <w:p w14:paraId="26BDAA4E" w14:textId="77777777" w:rsidR="00EF5B11" w:rsidRPr="00AC6BC7" w:rsidRDefault="00EF5B11" w:rsidP="000A486D">
      <w:pPr>
        <w:pStyle w:val="Bullets"/>
      </w:pPr>
      <w:r w:rsidRPr="00AC6BC7">
        <w:t>Shifting enrollment from the SLMB and QI categories to the QMB category would reduce the risk of affected individuals incurring new medical debt for Parts A and B cost services.</w:t>
      </w:r>
      <w:r w:rsidRPr="000A486D">
        <w:rPr>
          <w:rFonts w:ascii="Calibri" w:hAnsi="Calibri" w:cs="Calibri"/>
          <w:sz w:val="22"/>
          <w:szCs w:val="22"/>
          <w:vertAlign w:val="superscript"/>
        </w:rPr>
        <w:endnoteReference w:id="66"/>
      </w:r>
    </w:p>
    <w:p w14:paraId="5DE93766" w14:textId="77777777" w:rsidR="00EF5B11" w:rsidRPr="00BA10B0" w:rsidRDefault="00EF5B11" w:rsidP="00EF5B11">
      <w:r w:rsidRPr="006F0533">
        <w:rPr>
          <w:rStyle w:val="Emphasis"/>
        </w:rPr>
        <w:t>Reduce disparities.</w:t>
      </w:r>
      <w:r w:rsidRPr="00BA10B0">
        <w:rPr>
          <w:b/>
          <w:bCs/>
        </w:rPr>
        <w:t xml:space="preserve"> </w:t>
      </w:r>
      <w:r w:rsidRPr="00BA10B0">
        <w:t>Ineligibility for QMB among individuals above the poverty level is associated with disparities in health care use and access affecting racial and ethnic groups.</w:t>
      </w:r>
      <w:r w:rsidRPr="470F163D">
        <w:rPr>
          <w:rStyle w:val="EndnoteReference"/>
          <w:rFonts w:ascii="Calibri" w:hAnsi="Calibri" w:cs="Calibri"/>
          <w:sz w:val="22"/>
          <w:szCs w:val="22"/>
        </w:rPr>
        <w:endnoteReference w:id="67"/>
      </w:r>
      <w:r w:rsidRPr="00BA10B0">
        <w:t xml:space="preserve"> This model policy would narrow those disparities.</w:t>
      </w:r>
    </w:p>
    <w:p w14:paraId="16B44EA3" w14:textId="77777777" w:rsidR="00EF5B11" w:rsidRPr="005C7910" w:rsidRDefault="00EF5B11" w:rsidP="00EF5B11">
      <w:pPr>
        <w:rPr>
          <w:rFonts w:cs="Tahoma"/>
          <w:b/>
          <w:bCs/>
        </w:rPr>
      </w:pPr>
      <w:r w:rsidRPr="006F0533">
        <w:rPr>
          <w:rStyle w:val="Emphasis"/>
        </w:rPr>
        <w:t>Maximize federal funding.</w:t>
      </w:r>
      <w:r w:rsidRPr="00BA10B0">
        <w:rPr>
          <w:b/>
          <w:bCs/>
        </w:rPr>
        <w:t xml:space="preserve"> </w:t>
      </w:r>
      <w:r w:rsidRPr="005C7910">
        <w:rPr>
          <w:rFonts w:cs="Tahoma"/>
        </w:rPr>
        <w:t>This model policy allows states to extend Medicare Part B premium coverage under QI to individuals with incomes between 138% and 186% of the federal poverty level.</w:t>
      </w:r>
      <w:r w:rsidRPr="005C7910">
        <w:rPr>
          <w:rStyle w:val="EndnoteReference"/>
          <w:rFonts w:cs="Tahoma"/>
        </w:rPr>
        <w:endnoteReference w:id="68"/>
      </w:r>
      <w:r w:rsidRPr="005C7910">
        <w:rPr>
          <w:rFonts w:cs="Tahoma"/>
        </w:rPr>
        <w:t xml:space="preserve"> In most states, individuals in that income range are currently ineligible for the MSPs. In this case, extending MSP eligibility does not introduce new direct costs to states, as QI is fully funded through annual federal allocations.</w:t>
      </w:r>
      <w:r w:rsidRPr="005C7910">
        <w:rPr>
          <w:rStyle w:val="EndnoteReference"/>
          <w:rFonts w:cs="Tahoma"/>
        </w:rPr>
        <w:endnoteReference w:id="69"/>
      </w:r>
    </w:p>
    <w:p w14:paraId="21A186E6" w14:textId="0EC000AF" w:rsidR="00EF5B11" w:rsidRPr="002020E3" w:rsidRDefault="00EF5B11" w:rsidP="00EF5B11">
      <w:r w:rsidRPr="006F0533">
        <w:rPr>
          <w:rStyle w:val="Emphasis"/>
        </w:rPr>
        <w:t>Increase benefit costs for states.</w:t>
      </w:r>
      <w:r>
        <w:rPr>
          <w:vertAlign w:val="superscript"/>
        </w:rPr>
        <w:t xml:space="preserve"> </w:t>
      </w:r>
      <w:r w:rsidRPr="0BC0F6E1">
        <w:t>This</w:t>
      </w:r>
      <w:r w:rsidRPr="0085468A">
        <w:t xml:space="preserve"> option would </w:t>
      </w:r>
      <w:r>
        <w:t xml:space="preserve">raise state spending on Medicare Part A and B premiums and cost sharing for QMBs. At least half of </w:t>
      </w:r>
      <w:r w:rsidRPr="000240A6">
        <w:t xml:space="preserve">the </w:t>
      </w:r>
      <w:r>
        <w:t>new costs for QMBs would be federally funded at the standard FMAP rate. W</w:t>
      </w:r>
      <w:r w:rsidRPr="2D267470">
        <w:t>e describe variables that may help states develop their own projections</w:t>
      </w:r>
      <w:r>
        <w:t xml:space="preserve"> for these costs in the technical notes later in this section</w:t>
      </w:r>
      <w:r w:rsidRPr="00927747">
        <w:t>.</w:t>
      </w:r>
    </w:p>
    <w:p w14:paraId="226BDEDE" w14:textId="77777777" w:rsidR="00EF5B11" w:rsidRPr="00EF5B11" w:rsidRDefault="00EF5B11" w:rsidP="00EF5B11">
      <w:pPr>
        <w:pStyle w:val="Heading3"/>
      </w:pPr>
      <w:r w:rsidRPr="00EF5B11">
        <w:t>Other marginal effects:</w:t>
      </w:r>
    </w:p>
    <w:p w14:paraId="1A6DF4D1" w14:textId="77777777" w:rsidR="00EF5B11" w:rsidRPr="00BA10B0" w:rsidRDefault="00EF5B11" w:rsidP="00EF5B11">
      <w:pPr>
        <w:rPr>
          <w:b/>
        </w:rPr>
      </w:pPr>
      <w:r w:rsidRPr="006F0533">
        <w:rPr>
          <w:rStyle w:val="Emphasis"/>
        </w:rPr>
        <w:t xml:space="preserve">Reduce revenue for </w:t>
      </w:r>
      <w:r w:rsidRPr="005F4190">
        <w:rPr>
          <w:rStyle w:val="Emphasis"/>
        </w:rPr>
        <w:t>Part</w:t>
      </w:r>
      <w:r w:rsidRPr="006F0533">
        <w:rPr>
          <w:rStyle w:val="Emphasis"/>
        </w:rPr>
        <w:t xml:space="preserve"> B providers. </w:t>
      </w:r>
      <w:r w:rsidRPr="00BA10B0">
        <w:t>Many states</w:t>
      </w:r>
      <w:r w:rsidRPr="00BA10B0">
        <w:rPr>
          <w:b/>
          <w:bCs/>
        </w:rPr>
        <w:t xml:space="preserve"> </w:t>
      </w:r>
      <w:r w:rsidRPr="00BA10B0">
        <w:t>use lesser-of payment policies that often result in Part B providers (e.g., doctors) not receiving payment for the full Medicare cost-sharing amounts for serving QMBs.</w:t>
      </w:r>
      <w:r>
        <w:rPr>
          <w:rStyle w:val="EndnoteReference"/>
          <w:rFonts w:ascii="Calibri" w:hAnsi="Calibri" w:cs="Calibri"/>
          <w:sz w:val="22"/>
          <w:szCs w:val="22"/>
        </w:rPr>
        <w:endnoteReference w:id="70"/>
      </w:r>
      <w:r w:rsidRPr="00BA10B0">
        <w:t xml:space="preserve"> Under this model policy, where people move from SLMB and QI to QMB status, per-service revenue for Part B providers would decline due to lesser-of payment policies for services rendered to the affected individuals, although the impact depends on the state and service.</w:t>
      </w:r>
    </w:p>
    <w:p w14:paraId="7C1168EE" w14:textId="77777777" w:rsidR="00EF5B11" w:rsidRPr="00BA10B0" w:rsidRDefault="00EF5B11" w:rsidP="00EF5B11">
      <w:pPr>
        <w:rPr>
          <w:b/>
        </w:rPr>
      </w:pPr>
      <w:r w:rsidRPr="006F0533">
        <w:rPr>
          <w:rStyle w:val="Emphasis"/>
        </w:rPr>
        <w:t>Slightly reduce revenue for institutional providers.</w:t>
      </w:r>
      <w:r w:rsidRPr="00BA10B0">
        <w:t xml:space="preserve"> Part A providers (e.g., hospitals, skilled nursing facilities) qualify for federal reimbursement for 65% of Medicare bad debt,</w:t>
      </w:r>
      <w:r>
        <w:rPr>
          <w:rStyle w:val="EndnoteReference"/>
          <w:rFonts w:ascii="Calibri" w:hAnsi="Calibri" w:cs="Calibri"/>
          <w:sz w:val="22"/>
          <w:szCs w:val="22"/>
        </w:rPr>
        <w:endnoteReference w:id="71"/>
      </w:r>
      <w:r w:rsidRPr="00BA10B0">
        <w:t xml:space="preserve"> including unpaid cost sharing for QMBs. Therefore, any reduction in revenue due to lesser-of payment policies would be 65% offset by increases in Medicare bad debt payments to those same providers. </w:t>
      </w:r>
    </w:p>
    <w:p w14:paraId="12881E3B" w14:textId="77777777" w:rsidR="00EF5B11" w:rsidRPr="00BA10B0" w:rsidRDefault="00EF5B11" w:rsidP="00EF5B11">
      <w:r w:rsidRPr="006F0533">
        <w:rPr>
          <w:rStyle w:val="Emphasis"/>
        </w:rPr>
        <w:t>Potentially affect provider participation.</w:t>
      </w:r>
      <w:r w:rsidRPr="00BA10B0">
        <w:rPr>
          <w:b/>
          <w:bCs/>
        </w:rPr>
        <w:t xml:space="preserve"> </w:t>
      </w:r>
      <w:r w:rsidRPr="00BA10B0">
        <w:t>Expanding QMB participation could exacerbate issues with certain small providers declining to see QMBs, given the widespread use of lesser-of policies that result in minimal or no state payments for cost sharing.</w:t>
      </w:r>
      <w:r w:rsidRPr="470F163D">
        <w:rPr>
          <w:rStyle w:val="EndnoteReference"/>
          <w:rFonts w:ascii="Calibri" w:hAnsi="Calibri" w:cs="Calibri"/>
          <w:sz w:val="22"/>
          <w:szCs w:val="22"/>
        </w:rPr>
        <w:endnoteReference w:id="72"/>
      </w:r>
      <w:r w:rsidRPr="00BA10B0">
        <w:t xml:space="preserve"> </w:t>
      </w:r>
    </w:p>
    <w:p w14:paraId="10901750" w14:textId="77777777" w:rsidR="00EF5B11" w:rsidRPr="00BA10B0" w:rsidRDefault="00EF5B11" w:rsidP="00EF5B11">
      <w:pPr>
        <w:rPr>
          <w:b/>
          <w:bCs/>
        </w:rPr>
      </w:pPr>
      <w:r w:rsidRPr="006F0533">
        <w:rPr>
          <w:rStyle w:val="Emphasis"/>
        </w:rPr>
        <w:t>Simplify information to beneficiaries and their families.</w:t>
      </w:r>
      <w:r w:rsidRPr="00BA10B0">
        <w:rPr>
          <w:b/>
          <w:bCs/>
        </w:rPr>
        <w:t xml:space="preserve"> </w:t>
      </w:r>
      <w:r w:rsidRPr="00BA10B0">
        <w:t>This option functionally eliminates the SLMB eligibility group. This would shorten documents explaining the MSPs, reduce the amount of technical jargon, and make it marginally easier for the public to understand the MSPs.</w:t>
      </w:r>
    </w:p>
    <w:p w14:paraId="2905D6EB" w14:textId="77777777" w:rsidR="00EF5B11" w:rsidRPr="00BA10B0" w:rsidRDefault="00EF5B11" w:rsidP="00EF5B11">
      <w:r w:rsidRPr="006F0533">
        <w:rPr>
          <w:rStyle w:val="Emphasis"/>
        </w:rPr>
        <w:t>Require short-term state administrative costs.</w:t>
      </w:r>
      <w:r w:rsidRPr="00BA10B0">
        <w:rPr>
          <w:b/>
          <w:bCs/>
        </w:rPr>
        <w:t xml:space="preserve"> </w:t>
      </w:r>
      <w:r w:rsidRPr="00BA10B0">
        <w:t xml:space="preserve">The change would likely require short-term policy and operational investments to update eligibility systems, amend the Medicaid State Plan, and update manuals and related rules and guidance. </w:t>
      </w:r>
    </w:p>
    <w:p w14:paraId="496578AB" w14:textId="77777777" w:rsidR="00EF5B11" w:rsidRPr="00BA10B0" w:rsidRDefault="00EF5B11" w:rsidP="00EF5B11">
      <w:pPr>
        <w:rPr>
          <w:b/>
          <w:bCs/>
        </w:rPr>
      </w:pPr>
      <w:r w:rsidRPr="006F0533">
        <w:rPr>
          <w:rStyle w:val="Emphasis"/>
        </w:rPr>
        <w:t xml:space="preserve">Potentially </w:t>
      </w:r>
      <w:proofErr w:type="gramStart"/>
      <w:r w:rsidRPr="006F0533">
        <w:rPr>
          <w:rStyle w:val="Emphasis"/>
        </w:rPr>
        <w:t>reduce</w:t>
      </w:r>
      <w:proofErr w:type="gramEnd"/>
      <w:r w:rsidRPr="006F0533">
        <w:rPr>
          <w:rStyle w:val="Emphasis"/>
        </w:rPr>
        <w:t xml:space="preserve"> state Medicaid costs for long-term services and supports. </w:t>
      </w:r>
      <w:r w:rsidRPr="00BA10B0">
        <w:t xml:space="preserve">Increasing enrollment in the MSPs would likely enable more low-income Medicare beneficiaries to access the </w:t>
      </w:r>
      <w:r w:rsidRPr="00BA10B0" w:rsidDel="006E484D">
        <w:t>health care</w:t>
      </w:r>
      <w:r w:rsidRPr="00BA10B0">
        <w:t xml:space="preserve"> and community-based services that can minimize state Medicaid costs for more expensive long-term services and supports in the future. However, empirical evidence supporting this effect is limited. </w:t>
      </w:r>
    </w:p>
    <w:p w14:paraId="09CAEB55" w14:textId="77777777" w:rsidR="00EE2672" w:rsidRPr="00AE78F4" w:rsidRDefault="00EE2672" w:rsidP="00EE2672">
      <w:pPr>
        <w:pStyle w:val="Heading2"/>
        <w:rPr>
          <w:rStyle w:val="Emphasis"/>
          <w:b/>
          <w:bCs w:val="0"/>
        </w:rPr>
      </w:pPr>
      <w:bookmarkStart w:id="18" w:name="_Toc226982641"/>
      <w:r w:rsidRPr="00AE78F4">
        <w:rPr>
          <w:rStyle w:val="Emphasis"/>
          <w:b/>
          <w:bCs w:val="0"/>
        </w:rPr>
        <w:t>Questions and Answers</w:t>
      </w:r>
      <w:bookmarkEnd w:id="18"/>
    </w:p>
    <w:p w14:paraId="6C0996B2" w14:textId="77777777" w:rsidR="00EF5B11" w:rsidRPr="00E97431" w:rsidRDefault="00EF5B11" w:rsidP="00EF5B11">
      <w:r w:rsidRPr="00944B84">
        <w:rPr>
          <w:rStyle w:val="BlueEmphasisChar"/>
        </w:rPr>
        <w:t>This seems so technical. How do we know this is a real issue for the people we serve?</w:t>
      </w:r>
      <w:r w:rsidRPr="00E97431">
        <w:rPr>
          <w:b/>
          <w:bCs/>
        </w:rPr>
        <w:t xml:space="preserve"> </w:t>
      </w:r>
      <w:r w:rsidRPr="00E97431">
        <w:t>Advocates have been raising concerns about the Medicare cliff for over a decade. Researchers interviewing people experiencing the transition from Medicaid to Medicare summed up those experiences as unwanted, complicated, and—for those not dually eligible for Medicare and Medicaid—financially burdensome. As one interviewee put it after experiencing the Medicare cliff: “When I hit whatever magic age it was, when I could collect Medicare, they pulled the rug out from under me.”</w:t>
      </w:r>
      <w:r>
        <w:rPr>
          <w:rStyle w:val="EndnoteReference"/>
          <w:rFonts w:ascii="Calibri" w:hAnsi="Calibri" w:cs="Calibri"/>
          <w:sz w:val="22"/>
          <w:szCs w:val="22"/>
        </w:rPr>
        <w:endnoteReference w:id="73"/>
      </w:r>
    </w:p>
    <w:p w14:paraId="2BDA8A30" w14:textId="77777777" w:rsidR="00EF5B11" w:rsidRPr="00E97431" w:rsidRDefault="00EF5B11" w:rsidP="00EF5B11">
      <w:r w:rsidRPr="00944B84">
        <w:rPr>
          <w:rStyle w:val="BlueEmphasisChar"/>
        </w:rPr>
        <w:t>What makes this a good option for states?</w:t>
      </w:r>
      <w:r w:rsidRPr="00E97431">
        <w:t xml:space="preserve"> This option has an immediate and tangible impact on affordability for older adults and people with disabilities that can be clearly communicated to an easily identifiable group of people (i.e., instant exemption from Medicare cost sharing for those currently in SLMB or QI categories). The option also addresses the Medicare cliff, which has been a focus of research and policymakers since initial implementation of the Affordable Care Act.</w:t>
      </w:r>
    </w:p>
    <w:p w14:paraId="27DE69F1" w14:textId="77777777" w:rsidR="00EF5B11" w:rsidRPr="00E97431" w:rsidRDefault="00EF5B11" w:rsidP="00EF5B11">
      <w:r w:rsidRPr="00944B84">
        <w:rPr>
          <w:rStyle w:val="BlueEmphasisChar"/>
        </w:rPr>
        <w:t>What key disadvantages does this option have relative to other options for simplifying the MSPs?</w:t>
      </w:r>
      <w:r w:rsidRPr="00E97431">
        <w:t xml:space="preserve"> This option does not reduce burden on state eligibility workers or applicants as much as options that remove or simplify the asset test. The reduction in revenue for many Part B providers may create political opposition and take revenue away from the very providers that were already most accessible to low-income older adults and people with disabilities. </w:t>
      </w:r>
    </w:p>
    <w:p w14:paraId="14486CF5" w14:textId="77777777" w:rsidR="00EF5B11" w:rsidRPr="00E97431" w:rsidRDefault="00EF5B11" w:rsidP="00EF5B11">
      <w:r w:rsidRPr="00944B84">
        <w:rPr>
          <w:rStyle w:val="BlueEmphasisChar"/>
        </w:rPr>
        <w:t>Can a state raise the QMB limit above 138% of the federal poverty level?</w:t>
      </w:r>
      <w:r w:rsidRPr="00EF5B11">
        <w:rPr>
          <w:rStyle w:val="Emphasis"/>
        </w:rPr>
        <w:t xml:space="preserve"> </w:t>
      </w:r>
      <w:r w:rsidRPr="00E97431">
        <w:t>Yes. States are permitted to use section 1902(r)(2) of the Social Security Act to effectively increase the QMB income limit beyond 138% of the federal poverty level. For example, Connecticut raised its QMB limit to 211%, the District of Columbia to 300%, Indiana to 150%, Maine to 185%, and Massachusetts to 190% of the federal poverty level.</w:t>
      </w:r>
    </w:p>
    <w:p w14:paraId="4C3379AA" w14:textId="69510454" w:rsidR="00EF5B11" w:rsidRPr="007D66BB" w:rsidRDefault="00EF5B11" w:rsidP="00EF5B11">
      <w:r w:rsidRPr="00944B84">
        <w:rPr>
          <w:rStyle w:val="BlueEmphasisChar"/>
        </w:rPr>
        <w:t>Can a state take more incremental steps to expand MSP income eligibility?</w:t>
      </w:r>
      <w:r w:rsidRPr="00E97431">
        <w:t xml:space="preserve"> Yes. States can use the authorities under section 1902(r)(2) of the Social Security Act to incrementally change the QMB eligibility standards by, for example, phasing in changes over multiple years, excluding certain types of income (e.g., in-kind support and maintenance), or, per federal policy, expanding the definition of family size for the MSPs to include dependent family members. Incremental steps attenuate many of the effects of this model policy. (</w:t>
      </w:r>
      <w:hyperlink w:anchor="_End_the_MSP" w:history="1">
        <w:r w:rsidRPr="007D66BB">
          <w:rPr>
            <w:rStyle w:val="Hyperlink"/>
          </w:rPr>
          <w:t>See the separate model policy</w:t>
        </w:r>
        <w:r w:rsidRPr="007D66BB" w:rsidDel="00BE3326">
          <w:rPr>
            <w:rStyle w:val="Hyperlink"/>
          </w:rPr>
          <w:t xml:space="preserve"> </w:t>
        </w:r>
        <w:r w:rsidRPr="007D66BB">
          <w:rPr>
            <w:rStyle w:val="Hyperlink"/>
          </w:rPr>
          <w:t>to end the MSP family caregiver penalty.</w:t>
        </w:r>
      </w:hyperlink>
      <w:r w:rsidRPr="007D66BB">
        <w:t>)</w:t>
      </w:r>
    </w:p>
    <w:p w14:paraId="42FBB472" w14:textId="595070C1" w:rsidR="00EF5B11" w:rsidRPr="00E97431" w:rsidRDefault="00EF5B11" w:rsidP="00EF5B11">
      <w:pPr>
        <w:rPr>
          <w:b/>
          <w:bCs/>
          <w:iCs/>
        </w:rPr>
      </w:pPr>
      <w:r w:rsidRPr="00944B84">
        <w:rPr>
          <w:rStyle w:val="BlueEmphasisChar"/>
        </w:rPr>
        <w:t>Why does this model policy exclude the Qualified Disabled Working Individuals (QDWI) category?</w:t>
      </w:r>
      <w:r w:rsidRPr="00E97431">
        <w:rPr>
          <w:b/>
        </w:rPr>
        <w:t xml:space="preserve"> </w:t>
      </w:r>
      <w:r w:rsidRPr="00E97431">
        <w:t>We omit QDWIs because, unlike other MSP categories, federal law does not permit states to disregard income for QDWIs. The policy includes the QMB, SLMB, and QI categories because federal rules permit states to exclude countable income, effectively raising income limits for these categories.</w:t>
      </w:r>
    </w:p>
    <w:p w14:paraId="1DA439E9" w14:textId="51423C1E" w:rsidR="00EF5B11" w:rsidRDefault="00EF5B11" w:rsidP="00EF5B11">
      <w:r w:rsidRPr="00944B84">
        <w:rPr>
          <w:rStyle w:val="BlueEmphasisChar"/>
        </w:rPr>
        <w:t>What steps would a state need to implement to make this change?</w:t>
      </w:r>
      <w:r w:rsidRPr="00E97431">
        <w:t xml:space="preserve"> The change would likely require short-term policy and operational investments to update eligibility systems, including amending the State Medicaid Plan and updating manuals and related rules and guidance.</w:t>
      </w:r>
    </w:p>
    <w:p w14:paraId="5D294665" w14:textId="18CCD91A" w:rsidR="00614CDE" w:rsidRDefault="00EF5B11" w:rsidP="0050610B">
      <w:pPr>
        <w:spacing w:after="160"/>
        <w:sectPr w:rsidR="00614CDE" w:rsidSect="00BC71B3">
          <w:footerReference w:type="default" r:id="rId45"/>
          <w:endnotePr>
            <w:numFmt w:val="decimal"/>
          </w:endnotePr>
          <w:pgSz w:w="12240" w:h="15840"/>
          <w:pgMar w:top="1440" w:right="1440" w:bottom="1440" w:left="1440" w:header="720" w:footer="432" w:gutter="0"/>
          <w:cols w:space="720"/>
          <w:docGrid w:linePitch="360"/>
        </w:sectPr>
      </w:pPr>
      <w:r>
        <w:br w:type="page"/>
      </w:r>
      <w:bookmarkStart w:id="19" w:name="_Toc226982642"/>
    </w:p>
    <w:p w14:paraId="6C68E1DF" w14:textId="2D316A69" w:rsidR="00EF5B11" w:rsidRPr="00B972B6" w:rsidRDefault="00EF5B11" w:rsidP="001625B4">
      <w:pPr>
        <w:pStyle w:val="TechnicalAppendixHeader"/>
      </w:pPr>
      <w:r w:rsidRPr="00B972B6">
        <w:t>Model policy appendix: Technical notes on quantifying impacts</w:t>
      </w:r>
      <w:bookmarkEnd w:id="19"/>
    </w:p>
    <w:p w14:paraId="45758F56" w14:textId="77777777" w:rsidR="00EF5B11" w:rsidRPr="000240A6" w:rsidRDefault="00EF5B11" w:rsidP="00EF5B11">
      <w:pPr>
        <w:pStyle w:val="TechnicalAppendixText"/>
      </w:pPr>
      <w:r w:rsidRPr="000240A6">
        <w:t xml:space="preserve">There is a limited body of evidence </w:t>
      </w:r>
      <w:r>
        <w:t xml:space="preserve">related </w:t>
      </w:r>
      <w:r w:rsidRPr="000240A6">
        <w:t xml:space="preserve">to this model policy. Each state has a unique starting point. Therefore, the impacts of flattening the Medicare cliff will vary by state, even after adjusting for differences in population. </w:t>
      </w:r>
    </w:p>
    <w:p w14:paraId="7C2AE741" w14:textId="222C505B" w:rsidR="00B972B6" w:rsidRDefault="00EF5B11" w:rsidP="00D741AE">
      <w:pPr>
        <w:pStyle w:val="TechnicalAppendixText"/>
      </w:pPr>
      <w:r w:rsidRPr="000240A6">
        <w:t xml:space="preserve">In this appendix, we discuss the evidence base and ways for state analysts to project state-specific impacts from this model policy. However, due to our own data limitations, we stop short of fully quantifying impacts on state expenditures. </w:t>
      </w:r>
    </w:p>
    <w:p w14:paraId="6AF9381C" w14:textId="77777777" w:rsidR="001625B4" w:rsidRDefault="001625B4" w:rsidP="00D741AE">
      <w:pPr>
        <w:pStyle w:val="TechnicalAppendixText"/>
        <w:rPr>
          <w:b/>
          <w:bCs/>
          <w:iCs/>
        </w:rPr>
      </w:pPr>
    </w:p>
    <w:p w14:paraId="115E0986" w14:textId="60D5910F" w:rsidR="00EF5B11" w:rsidRPr="00EF5B11" w:rsidRDefault="00EF5B11" w:rsidP="0050610B">
      <w:pPr>
        <w:pStyle w:val="TechnicalAppendixHeader"/>
        <w:rPr>
          <w:b w:val="0"/>
          <w:bCs/>
          <w:iCs w:val="0"/>
        </w:rPr>
      </w:pPr>
      <w:r w:rsidRPr="00EF5B11">
        <w:t xml:space="preserve">Experiences in other states </w:t>
      </w:r>
    </w:p>
    <w:p w14:paraId="1DE2BE24" w14:textId="77777777" w:rsidR="00EF5B11" w:rsidRPr="000240A6" w:rsidRDefault="00EF5B11" w:rsidP="00EF5B11">
      <w:pPr>
        <w:pStyle w:val="TechnicalAppendixText"/>
      </w:pPr>
      <w:r w:rsidRPr="000240A6">
        <w:t>Some states have flattened the Medicare cliff. But none of them have done so in ways that are entirely consistent with this model policy. In some cases, states simultaneously made other eligibility changes that amplified effects (e.g., by simultaneously increasing the asset test/expanding eligibility for full-benefit Medicaid). Therefore, no state’s experience is a direct proxy for the effects of this model policy.</w:t>
      </w:r>
      <w:r w:rsidRPr="000240A6">
        <w:rPr>
          <w:rStyle w:val="EndnoteReference"/>
          <w:rFonts w:ascii="Calibri" w:hAnsi="Calibri" w:cs="Calibri"/>
          <w:sz w:val="22"/>
          <w:szCs w:val="22"/>
        </w:rPr>
        <w:endnoteReference w:id="74"/>
      </w:r>
    </w:p>
    <w:p w14:paraId="40D110E7" w14:textId="77777777" w:rsidR="00EF5B11" w:rsidRPr="00EF5B11" w:rsidRDefault="00EF5B11" w:rsidP="0050610B">
      <w:pPr>
        <w:pStyle w:val="TechnicalAppendixHeader"/>
        <w:rPr>
          <w:b w:val="0"/>
          <w:bCs/>
          <w:iCs w:val="0"/>
        </w:rPr>
      </w:pPr>
      <w:r w:rsidRPr="00EF5B11">
        <w:t xml:space="preserve">Considerations for state analysts </w:t>
      </w:r>
    </w:p>
    <w:p w14:paraId="34668AE2" w14:textId="77777777" w:rsidR="00EF5B11" w:rsidRPr="000240A6" w:rsidRDefault="00EF5B11" w:rsidP="00EF5B11">
      <w:pPr>
        <w:pStyle w:val="TechnicalAppendixText"/>
      </w:pPr>
      <w:r w:rsidRPr="000240A6">
        <w:t>Budget analysts should consider several variables when projecting costs in individual states, including:</w:t>
      </w:r>
    </w:p>
    <w:p w14:paraId="1B79937B" w14:textId="77777777" w:rsidR="00EF5B11" w:rsidRDefault="00EF5B11" w:rsidP="00142C0A">
      <w:pPr>
        <w:pStyle w:val="TechnicalAppendixText"/>
        <w:numPr>
          <w:ilvl w:val="0"/>
          <w:numId w:val="7"/>
        </w:numPr>
        <w:spacing w:after="180"/>
        <w:ind w:left="360"/>
      </w:pPr>
      <w:r w:rsidRPr="000240A6">
        <w:rPr>
          <w:i/>
        </w:rPr>
        <w:t>New cost sharing liability for current SLMBs and QIs.</w:t>
      </w:r>
      <w:r w:rsidRPr="000240A6">
        <w:t xml:space="preserve"> Transitioning individuals from SLMB and QI to QMB status makes the state responsible for Part A and B cost-sharing obligations previously borne by SLMBs and QIs. These represent new costs for a state. However, the prevalent use of “lesser-of” payment methodologies typically restricts state expenditures to covering only Part A and B deductibles.</w:t>
      </w:r>
      <w:r w:rsidRPr="000240A6">
        <w:rPr>
          <w:rStyle w:val="EndnoteReference"/>
          <w:rFonts w:ascii="Calibri" w:hAnsi="Calibri" w:cs="Calibri"/>
          <w:sz w:val="22"/>
          <w:szCs w:val="22"/>
        </w:rPr>
        <w:endnoteReference w:id="75"/>
      </w:r>
      <w:r w:rsidRPr="000240A6">
        <w:t xml:space="preserve"> Current spending on cost sharing for QMBs is worth examining, although average actual cost sharing for SLMBs and QIs is much lower than cost sharing for QMBs due to differences in Medicare service utilization between groups.</w:t>
      </w:r>
      <w:r w:rsidRPr="000240A6">
        <w:rPr>
          <w:rStyle w:val="EndnoteReference"/>
          <w:rFonts w:ascii="Calibri" w:hAnsi="Calibri" w:cs="Calibri"/>
          <w:sz w:val="22"/>
          <w:szCs w:val="22"/>
        </w:rPr>
        <w:endnoteReference w:id="76"/>
      </w:r>
    </w:p>
    <w:p w14:paraId="42BC81F5" w14:textId="77777777" w:rsidR="00EF5B11" w:rsidRDefault="00EF5B11" w:rsidP="00142C0A">
      <w:pPr>
        <w:pStyle w:val="TechnicalAppendixText"/>
        <w:numPr>
          <w:ilvl w:val="0"/>
          <w:numId w:val="7"/>
        </w:numPr>
        <w:spacing w:after="180"/>
        <w:ind w:left="360"/>
      </w:pPr>
      <w:r w:rsidRPr="00EF5B11">
        <w:rPr>
          <w:i/>
        </w:rPr>
        <w:t xml:space="preserve">New state share of Part B premiums for current QIs. </w:t>
      </w:r>
      <w:r w:rsidRPr="000240A6">
        <w:t>In addition,</w:t>
      </w:r>
      <w:r w:rsidRPr="00EF5B11">
        <w:rPr>
          <w:rFonts w:eastAsiaTheme="minorEastAsia"/>
        </w:rPr>
        <w:t xml:space="preserve"> </w:t>
      </w:r>
      <w:r w:rsidRPr="000240A6">
        <w:t>when QIs shift to QMB coverage, states become responsible for a share of their Medicare Part B premiums ($202.90 month), since QI is fully federally funded but QMB uses the standard FMAP rate.</w:t>
      </w:r>
    </w:p>
    <w:p w14:paraId="32EF72F3" w14:textId="77777777" w:rsidR="00EF5B11" w:rsidRPr="00677E3E" w:rsidRDefault="00EF5B11" w:rsidP="00142C0A">
      <w:pPr>
        <w:pStyle w:val="TechnicalAppendixText"/>
        <w:numPr>
          <w:ilvl w:val="0"/>
          <w:numId w:val="7"/>
        </w:numPr>
        <w:spacing w:after="180"/>
        <w:ind w:left="360"/>
      </w:pPr>
      <w:r w:rsidRPr="00677E3E">
        <w:rPr>
          <w:i/>
        </w:rPr>
        <w:t xml:space="preserve">New Part A premiums for people currently excluded from SLMB or QI coverage. </w:t>
      </w:r>
      <w:r w:rsidRPr="00677E3E">
        <w:t>Increasing the QMB income limit to 138% of the federal poverty level could result in a modest rise in QMB enrollment among individuals who were previously income and asset eligible for SLMB and QI but were excluded because they lacked Part A—a requirement for MSPs. These individuals did not have premium-free Part A and were unable to afford the costly Part A premium needed to qualify for SLMB or QI. By becoming income-eligible for QMB, the Part A premium would be covered for those without premium-free Part A, effectively removing a major financial obstacle to MSP participation. In such cases, states would incur additional costs for Part A and B premiums and cost sharing for this group, though it generally represents a small population in most states.</w:t>
      </w:r>
      <w:r w:rsidRPr="00677E3E">
        <w:rPr>
          <w:rStyle w:val="EndnoteReference"/>
          <w:rFonts w:ascii="Calibri" w:hAnsi="Calibri" w:cs="Calibri"/>
          <w:sz w:val="22"/>
          <w:szCs w:val="22"/>
        </w:rPr>
        <w:endnoteReference w:id="77"/>
      </w:r>
    </w:p>
    <w:p w14:paraId="79A593A2" w14:textId="77777777" w:rsidR="00EF5B11" w:rsidRDefault="00EF5B11" w:rsidP="00142C0A">
      <w:pPr>
        <w:pStyle w:val="TechnicalAppendixText"/>
        <w:numPr>
          <w:ilvl w:val="0"/>
          <w:numId w:val="7"/>
        </w:numPr>
        <w:spacing w:after="180"/>
        <w:ind w:left="360"/>
      </w:pPr>
      <w:r w:rsidRPr="00EF5B11">
        <w:rPr>
          <w:i/>
        </w:rPr>
        <w:t xml:space="preserve">Potential amplifiers. </w:t>
      </w:r>
      <w:r w:rsidRPr="000240A6">
        <w:t>States that newly expand MSP asset limits or increase income limits for full-benefit Medicaid would experience greater increases in enrollment and costs, than by increasing MSP income limits alone.</w:t>
      </w:r>
    </w:p>
    <w:p w14:paraId="22BD4263" w14:textId="77777777" w:rsidR="00EF5B11" w:rsidRDefault="00EF5B11" w:rsidP="00142C0A">
      <w:pPr>
        <w:pStyle w:val="TechnicalAppendixText"/>
        <w:numPr>
          <w:ilvl w:val="0"/>
          <w:numId w:val="7"/>
        </w:numPr>
        <w:spacing w:after="180"/>
        <w:ind w:left="360"/>
      </w:pPr>
      <w:r w:rsidRPr="00EF5B11">
        <w:rPr>
          <w:i/>
        </w:rPr>
        <w:t xml:space="preserve">State pharmaceutical assistance program savings. </w:t>
      </w:r>
      <w:r w:rsidRPr="000240A6">
        <w:t>States with pharmaceutical assistance programs would likely experience savings as this model policy automatically enrolls individuals with incomes between 150% and 186% of the federal poverty level—previously ineligible for Part D subsidies—into QI, which then automatically qualifies them for Part D Extra Help.</w:t>
      </w:r>
      <w:r w:rsidRPr="000240A6">
        <w:rPr>
          <w:rStyle w:val="EndnoteReference"/>
          <w:rFonts w:ascii="Calibri" w:hAnsi="Calibri" w:cs="Calibri"/>
          <w:sz w:val="22"/>
          <w:szCs w:val="22"/>
        </w:rPr>
        <w:endnoteReference w:id="78"/>
      </w:r>
    </w:p>
    <w:p w14:paraId="1995D44B" w14:textId="599ACD27" w:rsidR="00EF5B11" w:rsidRPr="00EF5B11" w:rsidRDefault="00EF5B11" w:rsidP="00142C0A">
      <w:pPr>
        <w:pStyle w:val="TechnicalAppendixText"/>
        <w:numPr>
          <w:ilvl w:val="0"/>
          <w:numId w:val="7"/>
        </w:numPr>
        <w:spacing w:after="180"/>
        <w:ind w:left="360"/>
      </w:pPr>
      <w:r w:rsidRPr="00EF5B11">
        <w:rPr>
          <w:i/>
        </w:rPr>
        <w:t xml:space="preserve">Potential reductions in long-term spending. </w:t>
      </w:r>
      <w:r w:rsidRPr="000240A6">
        <w:t>Recent analysis found that permanently losing Medicaid after Medicare eligibility leads to worse health, increased mortality, higher out-of-pocket expenses, and less use of preventive care compared to those who retain Medicaid after a temporary loss.</w:t>
      </w:r>
      <w:r w:rsidRPr="000240A6">
        <w:rPr>
          <w:rStyle w:val="EndnoteReference"/>
          <w:rFonts w:ascii="Calibri" w:hAnsi="Calibri" w:cs="Calibri"/>
          <w:sz w:val="22"/>
          <w:szCs w:val="22"/>
        </w:rPr>
        <w:endnoteReference w:id="79"/>
      </w:r>
      <w:r w:rsidRPr="000240A6">
        <w:t xml:space="preserve"> The empirical basis is limited, but it is plausible that this model policy—by avoiding the negative outcomes above—results in less use of nursing facilities or other expensive services over the long term. </w:t>
      </w:r>
    </w:p>
    <w:p w14:paraId="23FDF3E6" w14:textId="77777777" w:rsidR="00EF5B11" w:rsidRPr="000240A6" w:rsidRDefault="00EF5B11" w:rsidP="00EF5B11">
      <w:pPr>
        <w:pStyle w:val="TechnicalAppendixText"/>
      </w:pPr>
      <w:r w:rsidRPr="000240A6">
        <w:t xml:space="preserve">We welcome feedback and are happy to discuss financial considerations in individual states: </w:t>
      </w:r>
      <w:hyperlink r:id="rId46">
        <w:r w:rsidRPr="00EF5B11">
          <w:rPr>
            <w:rStyle w:val="Hyperlink"/>
          </w:rPr>
          <w:t>info@ADHealthPolicyLab.org</w:t>
        </w:r>
      </w:hyperlink>
      <w:r w:rsidRPr="000240A6">
        <w:t>.</w:t>
      </w:r>
    </w:p>
    <w:p w14:paraId="7AEE35D8" w14:textId="7CF0EC1B" w:rsidR="00704E68" w:rsidRDefault="00704E68">
      <w:pPr>
        <w:spacing w:after="160"/>
      </w:pPr>
      <w:r>
        <w:br w:type="page"/>
      </w:r>
    </w:p>
    <w:p w14:paraId="419EC371" w14:textId="77777777" w:rsidR="000319EF" w:rsidRDefault="000319EF" w:rsidP="00EF5B11">
      <w:pPr>
        <w:sectPr w:rsidR="000319EF" w:rsidSect="00614CDE">
          <w:endnotePr>
            <w:numFmt w:val="decimal"/>
          </w:endnotePr>
          <w:type w:val="continuous"/>
          <w:pgSz w:w="12240" w:h="15840"/>
          <w:pgMar w:top="1440" w:right="1440" w:bottom="1440" w:left="1440" w:header="720" w:footer="432" w:gutter="0"/>
          <w:cols w:space="720"/>
          <w:docGrid w:linePitch="360"/>
        </w:sectPr>
      </w:pPr>
    </w:p>
    <w:p w14:paraId="19DBCFD0" w14:textId="77777777" w:rsidR="000319EF" w:rsidRDefault="000319EF" w:rsidP="001E2553"/>
    <w:p w14:paraId="20C01318" w14:textId="77777777" w:rsidR="000319EF" w:rsidRDefault="000319EF" w:rsidP="00233ED1">
      <w:pPr>
        <w:pStyle w:val="SectionName"/>
      </w:pPr>
    </w:p>
    <w:p w14:paraId="03A93080" w14:textId="77777777" w:rsidR="000319EF" w:rsidRDefault="000319EF" w:rsidP="00233ED1">
      <w:pPr>
        <w:pStyle w:val="SectionName"/>
      </w:pPr>
    </w:p>
    <w:p w14:paraId="0CB65B7F" w14:textId="77777777" w:rsidR="000319EF" w:rsidRDefault="000319EF" w:rsidP="00233ED1">
      <w:pPr>
        <w:pStyle w:val="SectionName"/>
      </w:pPr>
    </w:p>
    <w:p w14:paraId="4AE0C511" w14:textId="77777777" w:rsidR="000319EF" w:rsidRDefault="000319EF" w:rsidP="00233ED1">
      <w:pPr>
        <w:pStyle w:val="SectionName"/>
      </w:pPr>
    </w:p>
    <w:p w14:paraId="2BF50447" w14:textId="3A809234" w:rsidR="000319EF" w:rsidRDefault="00704E68" w:rsidP="00704E68">
      <w:pPr>
        <w:pStyle w:val="SectionName"/>
      </w:pPr>
      <w:r>
        <w:t xml:space="preserve">End the MSP </w:t>
      </w:r>
      <w:r w:rsidR="00614CDE">
        <w:br/>
      </w:r>
      <w:r>
        <w:t>Family Caregiver Penalty</w:t>
      </w:r>
      <w:r w:rsidR="000319EF" w:rsidRPr="000878C4">
        <w:t xml:space="preserve"> </w:t>
      </w:r>
    </w:p>
    <w:p w14:paraId="71B1EF3B" w14:textId="094CD05B" w:rsidR="000319EF" w:rsidRDefault="00D179A1">
      <w:pPr>
        <w:rPr>
          <w:rFonts w:eastAsiaTheme="majorEastAsia"/>
          <w:bCs/>
          <w:noProof/>
          <w:color w:val="386641" w:themeColor="accent1"/>
          <w:sz w:val="60"/>
          <w:szCs w:val="60"/>
        </w:rPr>
      </w:pPr>
      <w:r>
        <w:rPr>
          <w:noProof/>
        </w:rPr>
        <w:drawing>
          <wp:anchor distT="0" distB="0" distL="114300" distR="114300" simplePos="0" relativeHeight="251658259" behindDoc="0" locked="0" layoutInCell="1" allowOverlap="1" wp14:anchorId="7D2194A0" wp14:editId="35331175">
            <wp:simplePos x="0" y="0"/>
            <wp:positionH relativeFrom="column">
              <wp:posOffset>2305045</wp:posOffset>
            </wp:positionH>
            <wp:positionV relativeFrom="paragraph">
              <wp:posOffset>463550</wp:posOffset>
            </wp:positionV>
            <wp:extent cx="1528923" cy="1160289"/>
            <wp:effectExtent l="0" t="0" r="0" b="1905"/>
            <wp:wrapNone/>
            <wp:docPr id="23669579" name="Graphic 14" descr="Icon of group of people across gen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9579" name="Graphic 14" descr="Icon of group of people across generations"/>
                    <pic:cNvPicPr/>
                  </pic:nvPicPr>
                  <pic:blipFill>
                    <a:blip r:embed="rId47">
                      <a:extLst>
                        <a:ext uri="{96DAC541-7B7A-43D3-8B79-37D633B846F1}">
                          <asvg:svgBlip xmlns:asvg="http://schemas.microsoft.com/office/drawing/2016/SVG/main" r:embed="rId48"/>
                        </a:ext>
                      </a:extLst>
                    </a:blip>
                    <a:stretch>
                      <a:fillRect/>
                    </a:stretch>
                  </pic:blipFill>
                  <pic:spPr>
                    <a:xfrm>
                      <a:off x="0" y="0"/>
                      <a:ext cx="1528923" cy="1160289"/>
                    </a:xfrm>
                    <a:prstGeom prst="rect">
                      <a:avLst/>
                    </a:prstGeom>
                  </pic:spPr>
                </pic:pic>
              </a:graphicData>
            </a:graphic>
            <wp14:sizeRelH relativeFrom="page">
              <wp14:pctWidth>0</wp14:pctWidth>
            </wp14:sizeRelH>
            <wp14:sizeRelV relativeFrom="page">
              <wp14:pctHeight>0</wp14:pctHeight>
            </wp14:sizeRelV>
          </wp:anchor>
        </w:drawing>
      </w:r>
      <w:r w:rsidR="00FB59D8">
        <w:rPr>
          <w:noProof/>
        </w:rPr>
        <mc:AlternateContent>
          <mc:Choice Requires="wps">
            <w:drawing>
              <wp:anchor distT="0" distB="0" distL="114300" distR="114300" simplePos="0" relativeHeight="251658248" behindDoc="1" locked="0" layoutInCell="1" allowOverlap="1" wp14:anchorId="6A6F3D04" wp14:editId="2DA90C48">
                <wp:simplePos x="0" y="0"/>
                <wp:positionH relativeFrom="column">
                  <wp:posOffset>-452755</wp:posOffset>
                </wp:positionH>
                <wp:positionV relativeFrom="paragraph">
                  <wp:posOffset>310515</wp:posOffset>
                </wp:positionV>
                <wp:extent cx="6873875" cy="1609725"/>
                <wp:effectExtent l="0" t="0" r="22225" b="28575"/>
                <wp:wrapNone/>
                <wp:docPr id="1077558539" name="Rectangle 121"/>
                <wp:cNvGraphicFramePr/>
                <a:graphic xmlns:a="http://schemas.openxmlformats.org/drawingml/2006/main">
                  <a:graphicData uri="http://schemas.microsoft.com/office/word/2010/wordprocessingShape">
                    <wps:wsp>
                      <wps:cNvSpPr/>
                      <wps:spPr>
                        <a:xfrm>
                          <a:off x="0" y="0"/>
                          <a:ext cx="6873875" cy="1609725"/>
                        </a:xfrm>
                        <a:prstGeom prst="roundRect">
                          <a:avLst>
                            <a:gd name="adj" fmla="val 1961"/>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08215A06" w14:textId="77777777" w:rsidR="000319EF" w:rsidRDefault="000319EF" w:rsidP="00F33C7A">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F3D04" id="_x0000_s1030" style="position:absolute;margin-left:-35.65pt;margin-top:24.45pt;width:541.25pt;height:126.7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" fillcolor="#386641 [3204]" strokecolor="#386641 [3204]">
                <v:textbox inset="36pt,14.4pt,36pt,36pt">
                  <w:txbxContent>
                    <w:p w14:paraId="08215A06" w14:textId="77777777" w:rsidR="000319EF" w:rsidRDefault="000319EF" w:rsidP="00F33C7A">
                      <w:pPr>
                        <w:pStyle w:val="NoSpacing"/>
                        <w:rPr>
                          <w:caps/>
                          <w:color w:val="FFFFFF" w:themeColor="background1"/>
                        </w:rPr>
                      </w:pPr>
                    </w:p>
                  </w:txbxContent>
                </v:textbox>
              </v:roundrect>
            </w:pict>
          </mc:Fallback>
        </mc:AlternateContent>
      </w:r>
      <w:r w:rsidR="00FB59D8">
        <w:rPr>
          <w:noProof/>
        </w:rPr>
        <mc:AlternateContent>
          <mc:Choice Requires="wps">
            <w:drawing>
              <wp:anchor distT="0" distB="0" distL="114300" distR="114300" simplePos="0" relativeHeight="251658249" behindDoc="1" locked="0" layoutInCell="1" allowOverlap="1" wp14:anchorId="2477E362" wp14:editId="48D8056C">
                <wp:simplePos x="0" y="0"/>
                <wp:positionH relativeFrom="column">
                  <wp:posOffset>-448945</wp:posOffset>
                </wp:positionH>
                <wp:positionV relativeFrom="paragraph">
                  <wp:posOffset>13399</wp:posOffset>
                </wp:positionV>
                <wp:extent cx="6877685" cy="142875"/>
                <wp:effectExtent l="0" t="0" r="18415" b="28575"/>
                <wp:wrapNone/>
                <wp:docPr id="1439386156" name="Rectangle 120"/>
                <wp:cNvGraphicFramePr/>
                <a:graphic xmlns:a="http://schemas.openxmlformats.org/drawingml/2006/main">
                  <a:graphicData uri="http://schemas.microsoft.com/office/word/2010/wordprocessingShape">
                    <wps:wsp>
                      <wps:cNvSpPr/>
                      <wps:spPr>
                        <a:xfrm>
                          <a:off x="0" y="0"/>
                          <a:ext cx="6877685" cy="142875"/>
                        </a:xfrm>
                        <a:prstGeom prst="roundRect">
                          <a:avLst/>
                        </a:prstGeom>
                        <a:solidFill>
                          <a:schemeClr val="accent2"/>
                        </a:solidFill>
                        <a:ln>
                          <a:solidFill>
                            <a:schemeClr val="accent2"/>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120" style="position:absolute;margin-left:-35.35pt;margin-top:1.05pt;width:541.55pt;height:11.25pt;z-index:-2516582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994e [3205]" strokecolor="#6a994e [3205]" arcsize="10923f" w14:anchorId="117C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"/>
            </w:pict>
          </mc:Fallback>
        </mc:AlternateContent>
      </w:r>
      <w:r w:rsidR="000319EF">
        <w:br w:type="page"/>
      </w:r>
    </w:p>
    <w:p w14:paraId="2FCF393F" w14:textId="77777777" w:rsidR="00677E3E" w:rsidRDefault="00677E3E" w:rsidP="00704E68">
      <w:pPr>
        <w:pStyle w:val="Heading1"/>
        <w:sectPr w:rsidR="00677E3E" w:rsidSect="00BC71B3">
          <w:footerReference w:type="default" r:id="rId49"/>
          <w:endnotePr>
            <w:numFmt w:val="decimal"/>
          </w:endnotePr>
          <w:pgSz w:w="12240" w:h="15840"/>
          <w:pgMar w:top="1440" w:right="1440" w:bottom="1440" w:left="1440" w:header="720" w:footer="432" w:gutter="0"/>
          <w:cols w:space="720"/>
          <w:docGrid w:linePitch="360"/>
        </w:sectPr>
      </w:pPr>
      <w:bookmarkStart w:id="20" w:name="_End_the_MSP"/>
      <w:bookmarkEnd w:id="20"/>
    </w:p>
    <w:p w14:paraId="01F9AF2D" w14:textId="2F940BB1" w:rsidR="00704E68" w:rsidRDefault="00704E68" w:rsidP="00704E68">
      <w:pPr>
        <w:pStyle w:val="Heading1"/>
      </w:pPr>
      <w:bookmarkStart w:id="21" w:name="_End_the_MSP_1"/>
      <w:bookmarkStart w:id="22" w:name="_Toc226982643"/>
      <w:bookmarkEnd w:id="21"/>
      <w:r w:rsidRPr="00704E68">
        <w:t>End the MSP Family Caregiver Penalty</w:t>
      </w:r>
      <w:bookmarkEnd w:id="22"/>
    </w:p>
    <w:tbl>
      <w:tblPr>
        <w:tblStyle w:val="MagentaTable1"/>
        <w:tblpPr w:leftFromText="180" w:rightFromText="180" w:vertAnchor="text" w:tblpY="1"/>
        <w:tblW w:w="5000" w:type="pct"/>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5" w:type="dxa"/>
          <w:bottom w:w="72" w:type="dxa"/>
        </w:tblCellMar>
        <w:tblLook w:val="0480" w:firstRow="0" w:lastRow="0" w:firstColumn="1" w:lastColumn="0" w:noHBand="0" w:noVBand="1"/>
      </w:tblPr>
      <w:tblGrid>
        <w:gridCol w:w="2605"/>
        <w:gridCol w:w="6745"/>
      </w:tblGrid>
      <w:tr w:rsidR="00AC51FB" w:rsidRPr="000D0F03" w14:paraId="7E062945" w14:textId="77777777" w:rsidTr="001E5636">
        <w:trPr>
          <w:cantSplit/>
          <w:trHeight w:val="2755"/>
        </w:trPr>
        <w:tc>
          <w:tcPr>
            <w:tcW w:w="1393" w:type="pct"/>
            <w:shd w:val="clear" w:color="auto" w:fill="414150" w:themeFill="text1"/>
            <w:vAlign w:val="center"/>
            <w:hideMark/>
          </w:tcPr>
          <w:p w14:paraId="7AD35564" w14:textId="77777777" w:rsidR="00AC51FB" w:rsidRPr="001B4BD2" w:rsidRDefault="00AC51FB" w:rsidP="001E5636">
            <w:pPr>
              <w:rPr>
                <w:rFonts w:eastAsia="Calibri"/>
                <w:b/>
                <w:bCs/>
                <w:color w:val="FFFFFF" w:themeColor="background1"/>
                <w:sz w:val="20"/>
                <w:szCs w:val="20"/>
              </w:rPr>
            </w:pPr>
            <w:r w:rsidRPr="001B4BD2">
              <w:rPr>
                <w:rFonts w:eastAsia="Calibri"/>
                <w:b/>
                <w:bCs/>
                <w:color w:val="FFFFFF" w:themeColor="background1"/>
              </w:rPr>
              <w:t>Problem</w:t>
            </w:r>
          </w:p>
        </w:tc>
        <w:tc>
          <w:tcPr>
            <w:tcW w:w="3607" w:type="pct"/>
            <w:shd w:val="clear" w:color="auto" w:fill="F2F2F2" w:themeFill="background1" w:themeFillShade="F2"/>
            <w:vAlign w:val="center"/>
            <w:hideMark/>
          </w:tcPr>
          <w:p w14:paraId="187FE879" w14:textId="67DBEF1C" w:rsidR="00AC51FB" w:rsidRPr="000D0F03" w:rsidRDefault="00AC51FB" w:rsidP="001E5636">
            <w:r w:rsidRPr="00AC51FB">
              <w:t>Most states only include the applicant and their spouse in determining household (family) size</w:t>
            </w:r>
            <w:r w:rsidR="009F3731">
              <w:t xml:space="preserve"> </w:t>
            </w:r>
            <w:r w:rsidRPr="00AC51FB">
              <w:t>to calculate eligibility for the Medicare Savings Programs (MSPs). This means caregivers—such as grandparents raising grandchildren or parents with dependent adult children—can only qualify for the MSPs at lower incomes (relative to the federal poverty level) than non-caregivers. We refer to this as the “MSP family caregiver penalty.”</w:t>
            </w:r>
          </w:p>
        </w:tc>
      </w:tr>
      <w:tr w:rsidR="00AC51FB" w:rsidRPr="000D0F03" w14:paraId="5DCEEBC5" w14:textId="77777777" w:rsidTr="001E5636">
        <w:trPr>
          <w:cantSplit/>
          <w:trHeight w:val="973"/>
        </w:trPr>
        <w:tc>
          <w:tcPr>
            <w:tcW w:w="1393" w:type="pct"/>
            <w:shd w:val="clear" w:color="auto" w:fill="414150" w:themeFill="text1"/>
            <w:vAlign w:val="center"/>
          </w:tcPr>
          <w:p w14:paraId="4D6A2890" w14:textId="77777777" w:rsidR="00AC51FB" w:rsidRPr="000D0F03" w:rsidRDefault="00AC51FB" w:rsidP="001E5636">
            <w:pPr>
              <w:rPr>
                <w:rFonts w:eastAsia="Calibri"/>
                <w:b/>
                <w:bCs/>
                <w:color w:val="FFFFFF" w:themeColor="background1"/>
                <w:sz w:val="20"/>
                <w:szCs w:val="20"/>
              </w:rPr>
            </w:pPr>
            <w:r w:rsidRPr="001B4BD2">
              <w:rPr>
                <w:rFonts w:eastAsia="Calibri"/>
                <w:b/>
                <w:bCs/>
                <w:color w:val="FFFFFF" w:themeColor="background1"/>
              </w:rPr>
              <w:t>Solution</w:t>
            </w:r>
          </w:p>
        </w:tc>
        <w:tc>
          <w:tcPr>
            <w:tcW w:w="3607" w:type="pct"/>
            <w:vAlign w:val="center"/>
          </w:tcPr>
          <w:p w14:paraId="12E106CF" w14:textId="40990A3D" w:rsidR="00AC51FB" w:rsidRPr="000D0F03" w:rsidRDefault="00AC51FB" w:rsidP="001E5636">
            <w:r w:rsidRPr="00AC51FB">
              <w:t>Recognize caregiving responsibilities by including dependents in eligibility calculations, allowing caregivers to qualify with higher household incomes.</w:t>
            </w:r>
          </w:p>
        </w:tc>
      </w:tr>
      <w:tr w:rsidR="00AC51FB" w:rsidRPr="000D0F03" w14:paraId="55DB0983" w14:textId="77777777" w:rsidTr="001E5636">
        <w:trPr>
          <w:cantSplit/>
          <w:trHeight w:val="1648"/>
        </w:trPr>
        <w:tc>
          <w:tcPr>
            <w:tcW w:w="1393" w:type="pct"/>
            <w:shd w:val="clear" w:color="auto" w:fill="414150" w:themeFill="text1"/>
            <w:vAlign w:val="center"/>
          </w:tcPr>
          <w:p w14:paraId="6637C3B9" w14:textId="77777777" w:rsidR="00AC51FB" w:rsidRPr="001B4BD2" w:rsidRDefault="00AC51FB" w:rsidP="001E5636">
            <w:pPr>
              <w:rPr>
                <w:rFonts w:eastAsia="Calibri"/>
                <w:b/>
                <w:bCs/>
                <w:color w:val="FFFFFF" w:themeColor="background1"/>
              </w:rPr>
            </w:pPr>
            <w:r w:rsidRPr="001B4BD2">
              <w:rPr>
                <w:rFonts w:eastAsia="Calibri"/>
                <w:b/>
                <w:bCs/>
                <w:color w:val="FFFFFF" w:themeColor="background1"/>
              </w:rPr>
              <w:t>Benefits for older adults and people with disabilities</w:t>
            </w:r>
          </w:p>
        </w:tc>
        <w:tc>
          <w:tcPr>
            <w:tcW w:w="3607" w:type="pct"/>
            <w:shd w:val="clear" w:color="auto" w:fill="F2F2F2" w:themeFill="background1" w:themeFillShade="F2"/>
            <w:vAlign w:val="center"/>
          </w:tcPr>
          <w:p w14:paraId="5DDF03CB" w14:textId="77777777" w:rsidR="00AC51FB" w:rsidRDefault="00AC51FB" w:rsidP="001E5636">
            <w:pPr>
              <w:pStyle w:val="Bullets"/>
              <w:ind w:left="345"/>
            </w:pPr>
            <w:r>
              <w:t>Makes MSP eligibility attainable at significantly higher income levels for MSP applicants with caregiving responsibilities.</w:t>
            </w:r>
          </w:p>
          <w:p w14:paraId="190E54E1" w14:textId="6EE18CAF" w:rsidR="00AC51FB" w:rsidRPr="00AC51FB" w:rsidRDefault="00AC51FB" w:rsidP="001E5636">
            <w:pPr>
              <w:pStyle w:val="Bullets"/>
            </w:pPr>
            <w:r w:rsidRPr="00AC51FB">
              <w:t>Improve health care access and reduce financial strain and mortality for certain caregivers.</w:t>
            </w:r>
          </w:p>
        </w:tc>
      </w:tr>
      <w:tr w:rsidR="00AC51FB" w:rsidRPr="000D0F03" w14:paraId="524DD6D8" w14:textId="77777777" w:rsidTr="001E5636">
        <w:trPr>
          <w:cantSplit/>
          <w:trHeight w:val="658"/>
        </w:trPr>
        <w:tc>
          <w:tcPr>
            <w:tcW w:w="1393" w:type="pct"/>
            <w:shd w:val="clear" w:color="auto" w:fill="414150" w:themeFill="text1"/>
            <w:vAlign w:val="center"/>
          </w:tcPr>
          <w:p w14:paraId="4F08D542" w14:textId="77777777" w:rsidR="00AC51FB" w:rsidRPr="001B4BD2" w:rsidRDefault="00AC51FB" w:rsidP="001E5636">
            <w:pPr>
              <w:rPr>
                <w:rFonts w:eastAsia="Calibri"/>
                <w:b/>
                <w:bCs/>
                <w:color w:val="FFFFFF" w:themeColor="background1"/>
              </w:rPr>
            </w:pPr>
            <w:r w:rsidRPr="00480172">
              <w:rPr>
                <w:rFonts w:eastAsia="Calibri"/>
                <w:b/>
                <w:bCs/>
                <w:color w:val="FFFFFF" w:themeColor="background1"/>
              </w:rPr>
              <w:t>Benefits for states</w:t>
            </w:r>
          </w:p>
        </w:tc>
        <w:tc>
          <w:tcPr>
            <w:tcW w:w="3607" w:type="pct"/>
            <w:vAlign w:val="center"/>
          </w:tcPr>
          <w:p w14:paraId="20EA29AF" w14:textId="2820D069" w:rsidR="00AC51FB" w:rsidRPr="000D0F03" w:rsidRDefault="00AC51FB" w:rsidP="001E5636">
            <w:r w:rsidRPr="00AC51FB">
              <w:t>Stability and fairness for caregivers who are experiencing economic hardship</w:t>
            </w:r>
            <w:r w:rsidRPr="001B4BD2">
              <w:t>.</w:t>
            </w:r>
          </w:p>
        </w:tc>
      </w:tr>
      <w:tr w:rsidR="00AC51FB" w:rsidRPr="000D0F03" w14:paraId="4D978AD5" w14:textId="77777777" w:rsidTr="001E5636">
        <w:trPr>
          <w:cantSplit/>
          <w:trHeight w:val="631"/>
        </w:trPr>
        <w:tc>
          <w:tcPr>
            <w:tcW w:w="1393" w:type="pct"/>
            <w:shd w:val="clear" w:color="auto" w:fill="414150" w:themeFill="text1"/>
            <w:vAlign w:val="center"/>
          </w:tcPr>
          <w:p w14:paraId="0F38061F" w14:textId="430D5A07" w:rsidR="00AC51FB" w:rsidRPr="00480172" w:rsidRDefault="00AC51FB" w:rsidP="001E5636">
            <w:pPr>
              <w:rPr>
                <w:rFonts w:eastAsia="Calibri"/>
                <w:b/>
                <w:bCs/>
                <w:color w:val="FFFFFF" w:themeColor="background1"/>
              </w:rPr>
            </w:pPr>
            <w:r>
              <w:rPr>
                <w:rFonts w:eastAsia="Calibri"/>
                <w:b/>
                <w:bCs/>
                <w:color w:val="FFFFFF" w:themeColor="background1"/>
              </w:rPr>
              <w:t xml:space="preserve">State </w:t>
            </w:r>
            <w:r w:rsidR="00084AB2">
              <w:rPr>
                <w:rFonts w:eastAsia="Calibri"/>
                <w:b/>
                <w:bCs/>
                <w:color w:val="FFFFFF" w:themeColor="background1"/>
              </w:rPr>
              <w:t>c</w:t>
            </w:r>
            <w:r>
              <w:rPr>
                <w:rFonts w:eastAsia="Calibri"/>
                <w:b/>
                <w:bCs/>
                <w:color w:val="FFFFFF" w:themeColor="background1"/>
              </w:rPr>
              <w:t xml:space="preserve">ost </w:t>
            </w:r>
            <w:r w:rsidR="00D14DB5">
              <w:rPr>
                <w:rFonts w:eastAsia="Calibri"/>
                <w:b/>
                <w:bCs/>
                <w:color w:val="FFFFFF" w:themeColor="background1"/>
              </w:rPr>
              <w:t>i</w:t>
            </w:r>
            <w:r>
              <w:rPr>
                <w:rFonts w:eastAsia="Calibri"/>
                <w:b/>
                <w:bCs/>
                <w:color w:val="FFFFFF" w:themeColor="background1"/>
              </w:rPr>
              <w:t>mplications</w:t>
            </w:r>
          </w:p>
        </w:tc>
        <w:tc>
          <w:tcPr>
            <w:tcW w:w="3607" w:type="pct"/>
            <w:shd w:val="clear" w:color="auto" w:fill="F2F2F2" w:themeFill="background1" w:themeFillShade="F2"/>
            <w:vAlign w:val="center"/>
          </w:tcPr>
          <w:p w14:paraId="734F8B15" w14:textId="5FCD8B24" w:rsidR="00AC51FB" w:rsidRPr="000D0F03" w:rsidRDefault="00AC51FB" w:rsidP="001E5636">
            <w:r w:rsidRPr="00AC51FB">
              <w:t>Low, temporary new Medicaid costs</w:t>
            </w:r>
            <w:r>
              <w:t>.</w:t>
            </w:r>
          </w:p>
        </w:tc>
      </w:tr>
    </w:tbl>
    <w:p w14:paraId="08F86A45" w14:textId="77777777" w:rsidR="00704E68" w:rsidRDefault="00704E68" w:rsidP="00704E68">
      <w:pPr>
        <w:pStyle w:val="Heading2"/>
      </w:pPr>
      <w:bookmarkStart w:id="23" w:name="_Toc226982644"/>
      <w:r>
        <w:t>Summary</w:t>
      </w:r>
      <w:bookmarkEnd w:id="23"/>
    </w:p>
    <w:p w14:paraId="496909CA" w14:textId="77777777" w:rsidR="005E7606" w:rsidRDefault="005E7606" w:rsidP="005E7606">
      <w:r>
        <w:t xml:space="preserve">Federal law </w:t>
      </w:r>
      <w:r w:rsidRPr="003B31B6">
        <w:t xml:space="preserve">sets income limits for </w:t>
      </w:r>
      <w:r>
        <w:t>Medicare Savings Program (</w:t>
      </w:r>
      <w:r w:rsidRPr="003B31B6">
        <w:t>MSP</w:t>
      </w:r>
      <w:r>
        <w:t>)</w:t>
      </w:r>
      <w:r w:rsidRPr="003B31B6">
        <w:t xml:space="preserve"> enrollment relative to the </w:t>
      </w:r>
      <w:r>
        <w:t>f</w:t>
      </w:r>
      <w:r w:rsidRPr="003B31B6">
        <w:t>ederal poverty level “applicable to a family of the size involved”</w:t>
      </w:r>
      <w:r>
        <w:t xml:space="preserve"> (“family size”). Essentially, the federal poverty level is higher</w:t>
      </w:r>
      <w:r w:rsidRPr="000240A6">
        <w:t>—</w:t>
      </w:r>
      <w:r>
        <w:t>and therefore MSP eligibility is attainable at higher income levels</w:t>
      </w:r>
      <w:r w:rsidRPr="000240A6">
        <w:t>—</w:t>
      </w:r>
      <w:r>
        <w:t xml:space="preserve">when more people are counted in the family size. </w:t>
      </w:r>
      <w:r w:rsidRPr="003B31B6">
        <w:t xml:space="preserve">The </w:t>
      </w:r>
      <w:r>
        <w:t xml:space="preserve">law </w:t>
      </w:r>
      <w:r w:rsidRPr="003B31B6">
        <w:t xml:space="preserve">does not define </w:t>
      </w:r>
      <w:r>
        <w:t xml:space="preserve">family size, </w:t>
      </w:r>
      <w:r w:rsidRPr="003B31B6">
        <w:t xml:space="preserve">and </w:t>
      </w:r>
      <w:r>
        <w:t xml:space="preserve">for decades the federal government has </w:t>
      </w:r>
      <w:r w:rsidRPr="003B31B6">
        <w:t xml:space="preserve">permitted </w:t>
      </w:r>
      <w:r>
        <w:t>s</w:t>
      </w:r>
      <w:r w:rsidRPr="003B31B6">
        <w:t>tates to apply their own reasonable definition</w:t>
      </w:r>
      <w:r>
        <w:t>.</w:t>
      </w:r>
      <w:r>
        <w:rPr>
          <w:rStyle w:val="EndnoteReference"/>
          <w:rFonts w:ascii="Calibri" w:hAnsi="Calibri" w:cs="Calibri"/>
          <w:sz w:val="22"/>
          <w:szCs w:val="22"/>
        </w:rPr>
        <w:endnoteReference w:id="80"/>
      </w:r>
      <w:r w:rsidRPr="003B31B6">
        <w:t xml:space="preserve"> </w:t>
      </w:r>
    </w:p>
    <w:p w14:paraId="46850FBB" w14:textId="49B66335" w:rsidR="005E7606" w:rsidRDefault="005E7606" w:rsidP="005E7606">
      <w:r>
        <w:t xml:space="preserve">Most states only count the </w:t>
      </w:r>
      <w:r w:rsidRPr="1DB60889">
        <w:t>individual and their spouse</w:t>
      </w:r>
      <w:r>
        <w:t xml:space="preserve"> in family size for MSP eligibility. In these states, MSP applicants who support dependents in their households (e.g., grandparents raising grandchildren or parents with dependent disabled adult children) are functionally disadvantaged for MSP eligibility.</w:t>
      </w:r>
    </w:p>
    <w:p w14:paraId="6DDD6734" w14:textId="720232DF" w:rsidR="005A0AC3" w:rsidRDefault="005E7606" w:rsidP="005A0AC3">
      <w:r w:rsidRPr="51471235">
        <w:t>The model state legislation below would</w:t>
      </w:r>
      <w:r w:rsidRPr="1DB60889">
        <w:t xml:space="preserve"> </w:t>
      </w:r>
      <w:r>
        <w:t xml:space="preserve">eliminate the penalty for family caregivers by expanding the MSP family size definition, in line with Part D Extra Help, to include not only the applicant and their spouse, but also household relatives </w:t>
      </w:r>
      <w:r w:rsidRPr="006F3568">
        <w:t xml:space="preserve">who depend </w:t>
      </w:r>
      <w:r>
        <w:t>on the applicant or their spouse for at least half of their financial support</w:t>
      </w:r>
      <w:r w:rsidRPr="006F3568">
        <w:t>.</w:t>
      </w:r>
      <w:r>
        <w:t xml:space="preserve"> This makes MSP eligibility attainable at significantly higher income levels for MSP applicants with caregiving responsibilities.</w:t>
      </w:r>
    </w:p>
    <w:p w14:paraId="224EE1F4" w14:textId="625B912D" w:rsidR="00704E68" w:rsidRDefault="005A0AC3" w:rsidP="005A0AC3">
      <w:pPr>
        <w:pStyle w:val="Bullets"/>
        <w:numPr>
          <w:ilvl w:val="0"/>
          <w:numId w:val="0"/>
        </w:numPr>
        <w:jc w:val="center"/>
      </w:pPr>
      <w:r>
        <w:rPr>
          <w:noProof/>
        </w:rPr>
        <w:drawing>
          <wp:inline distT="0" distB="0" distL="0" distR="0" wp14:anchorId="39CE360A" wp14:editId="3DA83697">
            <wp:extent cx="5901777" cy="3240506"/>
            <wp:effectExtent l="0" t="0" r="3810" b="0"/>
            <wp:docPr id="1416450580" name="Picture 20" descr="The current path for Medicare Savings Program (MSP) and the proposed path for the MSP. The proposed path removes the disadvantage for MSP applicants who support dependents in their househ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50580" name="Picture 20" descr="The current path for Medicare Savings Program (MSP) and the proposed path for the MSP. The proposed path removes the disadvantage for MSP applicants who support dependents in their households."/>
                    <pic:cNvPicPr/>
                  </pic:nvPicPr>
                  <pic:blipFill rotWithShape="1">
                    <a:blip r:embed="rId50">
                      <a:extLst>
                        <a:ext uri="{28A0092B-C50C-407E-A947-70E740481C1C}">
                          <a14:useLocalDpi xmlns:a14="http://schemas.microsoft.com/office/drawing/2010/main" val="0"/>
                        </a:ext>
                      </a:extLst>
                    </a:blip>
                    <a:srcRect l="13633" t="16794" r="13341" b="11922"/>
                    <a:stretch>
                      <a:fillRect/>
                    </a:stretch>
                  </pic:blipFill>
                  <pic:spPr bwMode="auto">
                    <a:xfrm>
                      <a:off x="0" y="0"/>
                      <a:ext cx="5952834" cy="3268540"/>
                    </a:xfrm>
                    <a:prstGeom prst="rect">
                      <a:avLst/>
                    </a:prstGeom>
                    <a:ln>
                      <a:noFill/>
                    </a:ln>
                    <a:extLst>
                      <a:ext uri="{53640926-AAD7-44D8-BBD7-CCE9431645EC}">
                        <a14:shadowObscured xmlns:a14="http://schemas.microsoft.com/office/drawing/2010/main"/>
                      </a:ext>
                    </a:extLst>
                  </pic:spPr>
                </pic:pic>
              </a:graphicData>
            </a:graphic>
          </wp:inline>
        </w:drawing>
      </w:r>
    </w:p>
    <w:p w14:paraId="4186DCE1" w14:textId="12930A64" w:rsidR="005E7606" w:rsidRDefault="005E7606" w:rsidP="005E7606">
      <w:r>
        <w:t>States must obtain federal approval for this policy, but the process is routine</w:t>
      </w:r>
      <w:r w:rsidRPr="0B05BACB">
        <w:t xml:space="preserve">. It just requires </w:t>
      </w:r>
      <w:r>
        <w:t>a standard amendment to their State Medicaid Plan.</w:t>
      </w:r>
    </w:p>
    <w:p w14:paraId="2D7E75AD" w14:textId="77777777" w:rsidR="005E7606" w:rsidRPr="00984EE8" w:rsidRDefault="005E7606" w:rsidP="00984EE8">
      <w:pPr>
        <w:pStyle w:val="BlueEmphasis"/>
        <w:rPr>
          <w:rStyle w:val="Emphasis"/>
          <w:b/>
          <w:bCs w:val="0"/>
        </w:rPr>
      </w:pPr>
      <w:r w:rsidRPr="00984EE8">
        <w:rPr>
          <w:rStyle w:val="Emphasis"/>
          <w:b/>
          <w:bCs w:val="0"/>
        </w:rPr>
        <w:t xml:space="preserve">Where this model policy could apply: </w:t>
      </w:r>
    </w:p>
    <w:p w14:paraId="353088DD" w14:textId="77777777" w:rsidR="005E7606" w:rsidRDefault="005E7606" w:rsidP="005E7606">
      <w:r w:rsidRPr="67598850">
        <w:t>As of the date of publication, the state of Florida applies this definition of family size for the MSPs.</w:t>
      </w:r>
      <w:r>
        <w:rPr>
          <w:rStyle w:val="EndnoteReference"/>
          <w:rFonts w:ascii="Calibri" w:hAnsi="Calibri" w:cs="Calibri"/>
          <w:sz w:val="22"/>
          <w:szCs w:val="22"/>
        </w:rPr>
        <w:endnoteReference w:id="81"/>
      </w:r>
      <w:r w:rsidRPr="67598850">
        <w:t xml:space="preserve"> </w:t>
      </w:r>
      <w:r w:rsidRPr="24ACABE9">
        <w:t>As such, this specific option is only relevant in the remaining states</w:t>
      </w:r>
      <w:r>
        <w:t>.</w:t>
      </w:r>
      <w:r w:rsidRPr="000517AB">
        <w:rPr>
          <w:rStyle w:val="EndnoteReference"/>
          <w:rFonts w:ascii="Calibri" w:hAnsi="Calibri" w:cs="Calibri"/>
          <w:sz w:val="22"/>
          <w:szCs w:val="22"/>
        </w:rPr>
        <w:t xml:space="preserve"> </w:t>
      </w:r>
    </w:p>
    <w:p w14:paraId="580B1FD1" w14:textId="77777777" w:rsidR="007176D2" w:rsidRPr="00944B09" w:rsidRDefault="007176D2" w:rsidP="007176D2">
      <w:pPr>
        <w:rPr>
          <w:rFonts w:cs="Tahoma"/>
          <w:b/>
        </w:rPr>
      </w:pPr>
      <w:r w:rsidRPr="00944B09">
        <w:rPr>
          <w:rFonts w:cs="Tahoma"/>
          <w:b/>
        </w:rPr>
        <w:t xml:space="preserve">History for this </w:t>
      </w:r>
      <w:r w:rsidRPr="00944B09">
        <w:rPr>
          <w:rFonts w:cs="Tahoma"/>
          <w:b/>
          <w:bCs/>
        </w:rPr>
        <w:t>model policy:</w:t>
      </w:r>
      <w:r>
        <w:rPr>
          <w:rFonts w:cs="Tahoma"/>
          <w:b/>
          <w:bCs/>
        </w:rPr>
        <w:br/>
      </w:r>
      <w:r>
        <w:t>First published: 05/11/2026 (draft)</w:t>
      </w:r>
      <w:r>
        <w:rPr>
          <w:rFonts w:cs="Tahoma"/>
          <w:b/>
          <w:bCs/>
        </w:rPr>
        <w:br/>
      </w:r>
      <w:r>
        <w:t>Modified: N/A</w:t>
      </w:r>
    </w:p>
    <w:p w14:paraId="0EEBAA87" w14:textId="78F713F4" w:rsidR="00240AD7" w:rsidRDefault="00240AD7">
      <w:pPr>
        <w:spacing w:after="160"/>
        <w:rPr>
          <w:rStyle w:val="Emphasis"/>
        </w:rPr>
      </w:pPr>
      <w:r>
        <w:rPr>
          <w:rStyle w:val="Emphasis"/>
        </w:rPr>
        <w:br w:type="page"/>
      </w:r>
    </w:p>
    <w:p w14:paraId="39C58209" w14:textId="4477B3A8" w:rsidR="00704E68" w:rsidRPr="00240AD7" w:rsidRDefault="00240AD7" w:rsidP="00240AD7">
      <w:pPr>
        <w:pStyle w:val="Heading2"/>
        <w:rPr>
          <w:rStyle w:val="Emphasis"/>
          <w:b/>
          <w:bCs w:val="0"/>
        </w:rPr>
      </w:pPr>
      <w:bookmarkStart w:id="24" w:name="_Toc226982645"/>
      <w:r w:rsidRPr="00240AD7">
        <w:rPr>
          <w:rStyle w:val="Emphasis"/>
          <w:b/>
          <w:bCs w:val="0"/>
        </w:rPr>
        <w:t>Model Legislative Text</w:t>
      </w:r>
      <w:bookmarkEnd w:id="24"/>
    </w:p>
    <w:p w14:paraId="107D10A0" w14:textId="77777777" w:rsidR="00240AD7" w:rsidRDefault="00240AD7" w:rsidP="00240AD7">
      <w:pPr>
        <w:pStyle w:val="LegislativeText"/>
        <w:rPr>
          <w:b/>
          <w:bCs/>
          <w:i/>
          <w:iCs/>
        </w:rPr>
      </w:pPr>
      <w:r w:rsidRPr="28D6B40F">
        <w:t xml:space="preserve">WHEREAS many Medicare beneficiaries </w:t>
      </w:r>
      <w:r>
        <w:t xml:space="preserve">serve </w:t>
      </w:r>
      <w:r w:rsidRPr="5691F1DA">
        <w:t>as</w:t>
      </w:r>
      <w:r>
        <w:t xml:space="preserve"> primary caregivers for dependent children, parents, and other relatives </w:t>
      </w:r>
      <w:r w:rsidRPr="104A029E">
        <w:t>in their households</w:t>
      </w:r>
      <w:r>
        <w:t>.</w:t>
      </w:r>
    </w:p>
    <w:p w14:paraId="1F90D558" w14:textId="77777777" w:rsidR="00240AD7" w:rsidRDefault="00240AD7" w:rsidP="00240AD7">
      <w:pPr>
        <w:pStyle w:val="LegislativeText"/>
      </w:pPr>
      <w:r w:rsidRPr="28D6B40F">
        <w:t>WHEREAS enrolling in a Medicare Savings Program improves economic security for Medicare-eligible caregivers, saving a</w:t>
      </w:r>
      <w:r>
        <w:t xml:space="preserve">n individual </w:t>
      </w:r>
      <w:r w:rsidRPr="28D6B40F">
        <w:t>over $</w:t>
      </w:r>
      <w:r>
        <w:t>8</w:t>
      </w:r>
      <w:r w:rsidRPr="28D6B40F">
        <w:t xml:space="preserve">,000 per year in Medicare Part B premiums </w:t>
      </w:r>
      <w:r>
        <w:t xml:space="preserve">and prescription drug </w:t>
      </w:r>
      <w:r w:rsidRPr="5ED1AD9C">
        <w:t>costs.</w:t>
      </w:r>
    </w:p>
    <w:p w14:paraId="6F7CB510" w14:textId="77777777" w:rsidR="00240AD7" w:rsidRDefault="00240AD7" w:rsidP="00240AD7">
      <w:pPr>
        <w:pStyle w:val="LegislativeText"/>
        <w:rPr>
          <w:b/>
          <w:bCs/>
          <w:i/>
          <w:iCs/>
        </w:rPr>
      </w:pPr>
      <w:r w:rsidRPr="28D6B40F">
        <w:t xml:space="preserve">WHEREAS, for Medicare Part D subsidies, ‘‘family size’’ is defined to include the applicant, the applicant’s spouse (if the spouse is living in the same household with the applicant), and all other individuals living in the same household who are related </w:t>
      </w:r>
      <w:r>
        <w:t xml:space="preserve">by blood, adoption, or marriage </w:t>
      </w:r>
      <w:r w:rsidRPr="28D6B40F">
        <w:t xml:space="preserve">to the applicant and dependent on the applicant or applicant’s spouse for </w:t>
      </w:r>
      <w:r>
        <w:t xml:space="preserve">a minimum of </w:t>
      </w:r>
      <w:r w:rsidRPr="28D6B40F">
        <w:t>one</w:t>
      </w:r>
      <w:r>
        <w:t xml:space="preserve"> </w:t>
      </w:r>
      <w:r w:rsidRPr="28D6B40F">
        <w:t>half of their financial support</w:t>
      </w:r>
      <w:r>
        <w:t>.</w:t>
      </w:r>
    </w:p>
    <w:p w14:paraId="5AEABD83" w14:textId="77777777" w:rsidR="00240AD7" w:rsidRDefault="00240AD7" w:rsidP="00240AD7">
      <w:pPr>
        <w:pStyle w:val="LegislativeText"/>
        <w:rPr>
          <w:b/>
          <w:bCs/>
          <w:i/>
          <w:iCs/>
        </w:rPr>
      </w:pPr>
      <w:r w:rsidRPr="28D6B40F">
        <w:t>WHEREAS family size affects eligibility for the Medicare Savings Program eligibility groups</w:t>
      </w:r>
      <w:r>
        <w:t>.</w:t>
      </w:r>
    </w:p>
    <w:p w14:paraId="7FC34AED" w14:textId="77777777" w:rsidR="00240AD7" w:rsidRDefault="00240AD7" w:rsidP="00240AD7">
      <w:pPr>
        <w:pStyle w:val="LegislativeText"/>
      </w:pPr>
      <w:r w:rsidRPr="28D6B40F">
        <w:t xml:space="preserve">BE IT </w:t>
      </w:r>
      <w:r>
        <w:t>ENACTED</w:t>
      </w:r>
      <w:r w:rsidRPr="28D6B40F">
        <w:t xml:space="preserve"> that:</w:t>
      </w:r>
    </w:p>
    <w:p w14:paraId="60B24776" w14:textId="3845890C" w:rsidR="00240AD7" w:rsidRDefault="00240AD7" w:rsidP="00240AD7">
      <w:pPr>
        <w:pStyle w:val="LegislativeText"/>
      </w:pPr>
      <w:r>
        <w:t>F</w:t>
      </w:r>
      <w:r w:rsidRPr="57D3C5EA">
        <w:t>or the purposes of eligibility for the Medicare Savings Programs</w:t>
      </w:r>
      <w:r>
        <w:t xml:space="preserve"> under sections 1905(p)(2)(A) and (B), 1902(a)(10)(E)(iii) and (iv), and 1905(s) of the Social Security Act</w:t>
      </w:r>
      <w:r w:rsidRPr="57D3C5EA">
        <w:t xml:space="preserve">, </w:t>
      </w:r>
      <w:r>
        <w:t xml:space="preserve">in addition to the applicant and their spouse, </w:t>
      </w:r>
      <w:r w:rsidRPr="2A300821">
        <w:t>[</w:t>
      </w:r>
      <w:r>
        <w:t>a</w:t>
      </w:r>
      <w:r w:rsidRPr="2A300821">
        <w:t>gency</w:t>
      </w:r>
      <w:r w:rsidRPr="57D3C5EA">
        <w:t xml:space="preserve"> or agency head] shall seek approval from the Centers for Medicare &amp; Medicaid Services as necessary to</w:t>
      </w:r>
      <w:r>
        <w:t xml:space="preserve"> adopt</w:t>
      </w:r>
      <w:r w:rsidRPr="57D3C5EA">
        <w:t xml:space="preserve"> a definition of “family size of the size involved” that </w:t>
      </w:r>
      <w:r>
        <w:t>includes all additional individuals described in</w:t>
      </w:r>
      <w:r w:rsidRPr="57D3C5EA">
        <w:t xml:space="preserve"> the family size </w:t>
      </w:r>
      <w:r>
        <w:t>definition</w:t>
      </w:r>
      <w:r w:rsidRPr="57D3C5EA">
        <w:t xml:space="preserve"> for Part D low-income subsidy</w:t>
      </w:r>
      <w:r>
        <w:t xml:space="preserve"> under 42 CFR 423.772</w:t>
      </w:r>
      <w:r w:rsidRPr="57D3C5EA">
        <w:t>, effective no later than [date].</w:t>
      </w:r>
    </w:p>
    <w:p w14:paraId="326C755A" w14:textId="77777777" w:rsidR="00240AD7" w:rsidRPr="00D557AA" w:rsidRDefault="00240AD7" w:rsidP="00240AD7">
      <w:pPr>
        <w:pStyle w:val="LegislativeText"/>
      </w:pPr>
      <w:r w:rsidRPr="00D557AA">
        <w:t>Upon approval by the Centers for Medicare &amp; Medicaid Services of the change, [agency or agency head] shall</w:t>
      </w:r>
      <w:r>
        <w:t xml:space="preserve"> promptly</w:t>
      </w:r>
      <w:r w:rsidRPr="00D557AA">
        <w:t>:</w:t>
      </w:r>
    </w:p>
    <w:p w14:paraId="5EC4FB0B" w14:textId="77777777" w:rsidR="00240AD7" w:rsidRPr="00BD01EE" w:rsidRDefault="00240AD7" w:rsidP="00BD01EE">
      <w:pPr>
        <w:pStyle w:val="Bullets"/>
        <w:rPr>
          <w:rFonts w:ascii="Times New Roman" w:hAnsi="Times New Roman" w:cs="Times New Roman"/>
        </w:rPr>
      </w:pPr>
      <w:r w:rsidRPr="00BD01EE">
        <w:rPr>
          <w:rFonts w:ascii="Times New Roman" w:hAnsi="Times New Roman" w:cs="Times New Roman"/>
        </w:rPr>
        <w:t>Update state regulation, operational guidance, and systems as necessary to implement the change, and</w:t>
      </w:r>
    </w:p>
    <w:p w14:paraId="50AC1831" w14:textId="46FC7944" w:rsidR="00240AD7" w:rsidRPr="00BD01EE" w:rsidRDefault="00240AD7" w:rsidP="00BD01EE">
      <w:pPr>
        <w:pStyle w:val="Bullets"/>
        <w:rPr>
          <w:rFonts w:ascii="Times New Roman" w:hAnsi="Times New Roman" w:cs="Times New Roman"/>
        </w:rPr>
      </w:pPr>
      <w:r w:rsidRPr="00BD01EE">
        <w:rPr>
          <w:rFonts w:ascii="Times New Roman" w:hAnsi="Times New Roman" w:cs="Times New Roman"/>
        </w:rPr>
        <w:t>Revise notices and forms as needed to reflect these eligibility changes.</w:t>
      </w:r>
    </w:p>
    <w:p w14:paraId="344A7468" w14:textId="5854DC47" w:rsidR="007B5EB8" w:rsidRDefault="007B5EB8">
      <w:pPr>
        <w:spacing w:after="160"/>
        <w:rPr>
          <w:rStyle w:val="Emphasis"/>
        </w:rPr>
      </w:pPr>
      <w:r>
        <w:rPr>
          <w:rStyle w:val="Emphasis"/>
        </w:rPr>
        <w:br w:type="page"/>
      </w:r>
    </w:p>
    <w:p w14:paraId="17F4333D" w14:textId="77777777" w:rsidR="007B5EB8" w:rsidRDefault="007B5EB8" w:rsidP="007B5EB8">
      <w:pPr>
        <w:pStyle w:val="Heading2"/>
      </w:pPr>
      <w:bookmarkStart w:id="25" w:name="_Toc226982646"/>
      <w:r>
        <w:t>Analysis</w:t>
      </w:r>
      <w:bookmarkEnd w:id="25"/>
    </w:p>
    <w:p w14:paraId="0E5E5952" w14:textId="77777777" w:rsidR="007B5EB8" w:rsidRDefault="007B5EB8" w:rsidP="007B5EB8">
      <w:pPr>
        <w:pStyle w:val="Heading3"/>
      </w:pPr>
      <w:r w:rsidRPr="470F163D">
        <w:t>Primary effects:</w:t>
      </w:r>
    </w:p>
    <w:p w14:paraId="62E13CB9" w14:textId="77777777" w:rsidR="007B5EB8" w:rsidRPr="00BA10B0" w:rsidRDefault="007B5EB8" w:rsidP="007B5EB8">
      <w:pPr>
        <w:rPr>
          <w:b/>
          <w:bCs/>
        </w:rPr>
      </w:pPr>
      <w:r w:rsidRPr="0036241E">
        <w:rPr>
          <w:rStyle w:val="Emphasis"/>
        </w:rPr>
        <w:t>Reduce financial strain on Medicare beneficiaries who are raising grandchildren and live in multigenerational families.</w:t>
      </w:r>
      <w:r w:rsidRPr="00BA10B0">
        <w:rPr>
          <w:b/>
          <w:bCs/>
        </w:rPr>
        <w:t xml:space="preserve"> </w:t>
      </w:r>
      <w:r w:rsidRPr="00BA10B0">
        <w:t xml:space="preserve">More Medicare beneficiaries who are raising grandchildren, have dependent adult children with disabilities, or serve as the primary caregiver for parents or other dependent relatives in their household would qualify to have their Medicare premiums covered through the MSPs. </w:t>
      </w:r>
    </w:p>
    <w:p w14:paraId="2FC4D565" w14:textId="77777777" w:rsidR="007B5EB8" w:rsidRPr="00BA10B0" w:rsidRDefault="007B5EB8" w:rsidP="007B5EB8">
      <w:pPr>
        <w:rPr>
          <w:b/>
        </w:rPr>
      </w:pPr>
      <w:r w:rsidRPr="0036241E">
        <w:rPr>
          <w:rStyle w:val="Emphasis"/>
        </w:rPr>
        <w:t>Support Medicare beneficiaries with disabilities under age 65 who head households.</w:t>
      </w:r>
      <w:r w:rsidRPr="00BA10B0">
        <w:rPr>
          <w:b/>
          <w:bCs/>
        </w:rPr>
        <w:t xml:space="preserve"> </w:t>
      </w:r>
      <w:r w:rsidRPr="00BA10B0">
        <w:t>In some states, parents with disabilities raising their own children are over the income limit for Medicaid and MSPs.</w:t>
      </w:r>
      <w:r>
        <w:rPr>
          <w:rStyle w:val="EndnoteReference"/>
          <w:rFonts w:ascii="Calibri" w:hAnsi="Calibri" w:cs="Calibri"/>
          <w:sz w:val="22"/>
          <w:szCs w:val="22"/>
        </w:rPr>
        <w:endnoteReference w:id="82"/>
      </w:r>
      <w:r w:rsidRPr="00BA10B0">
        <w:t xml:space="preserve"> Counting their children in household size would enable them to qualify for the MSPs by lifting the income threshold, enabling families to keep more of their income for food, rent, utilities, and other necessities.</w:t>
      </w:r>
    </w:p>
    <w:p w14:paraId="4ED99FDE" w14:textId="2554B459" w:rsidR="007E4977" w:rsidRDefault="007B5EB8" w:rsidP="007B5EB8">
      <w:r w:rsidRPr="0036241E">
        <w:rPr>
          <w:rStyle w:val="Emphasis"/>
        </w:rPr>
        <w:t>Improve access to prescription drugs.</w:t>
      </w:r>
      <w:r w:rsidRPr="00BA10B0">
        <w:t xml:space="preserve"> MSP enrollment automatically results in enrollment into Part D Extra Help, which lowers premiums and cost sharing for prescription drugs</w:t>
      </w:r>
      <w:r w:rsidR="007E4977">
        <w:t>.</w:t>
      </w:r>
    </w:p>
    <w:p w14:paraId="726681FC" w14:textId="3D977719" w:rsidR="007E4977" w:rsidRDefault="007E4977" w:rsidP="007B5EB8">
      <w:r>
        <w:rPr>
          <w:noProof/>
        </w:rPr>
        <mc:AlternateContent>
          <mc:Choice Requires="wps">
            <w:drawing>
              <wp:anchor distT="0" distB="0" distL="114300" distR="114300" simplePos="0" relativeHeight="251658265" behindDoc="1" locked="0" layoutInCell="1" allowOverlap="1" wp14:anchorId="5684E810" wp14:editId="19E15A69">
                <wp:simplePos x="0" y="0"/>
                <wp:positionH relativeFrom="margin">
                  <wp:align>left</wp:align>
                </wp:positionH>
                <wp:positionV relativeFrom="paragraph">
                  <wp:posOffset>257175</wp:posOffset>
                </wp:positionV>
                <wp:extent cx="5918200" cy="996950"/>
                <wp:effectExtent l="0" t="0" r="6350" b="0"/>
                <wp:wrapNone/>
                <wp:docPr id="391576589" name="Rectangle: Rounded Corners 12"/>
                <wp:cNvGraphicFramePr/>
                <a:graphic xmlns:a="http://schemas.openxmlformats.org/drawingml/2006/main">
                  <a:graphicData uri="http://schemas.microsoft.com/office/word/2010/wordprocessingShape">
                    <wps:wsp>
                      <wps:cNvSpPr/>
                      <wps:spPr>
                        <a:xfrm flipV="1">
                          <a:off x="0" y="0"/>
                          <a:ext cx="5918200" cy="99695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Rounded Corners 12" style="position:absolute;margin-left:0;margin-top:20.25pt;width:466pt;height:78.5pt;flip:y;z-index:-251656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386641 [3204]" stroked="f" strokeweight="1pt" arcsize="10923f" w14:anchorId="67E2D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">
                <v:stroke joinstyle="miter"/>
                <w10:wrap anchorx="margin"/>
              </v:roundrect>
            </w:pict>
          </mc:Fallback>
        </mc:AlternateContent>
      </w:r>
      <w:r w:rsidR="00091544" w:rsidRPr="007E4977">
        <w:t xml:space="preserve">As a beneficiary counselor at a social services organization observed, </w:t>
      </w:r>
    </w:p>
    <w:p w14:paraId="2D80B008" w14:textId="77777777" w:rsidR="00632B24" w:rsidRDefault="00091544" w:rsidP="00632B24">
      <w:pPr>
        <w:jc w:val="center"/>
      </w:pPr>
      <w:r w:rsidRPr="003400B8">
        <w:rPr>
          <w:b/>
          <w:bCs/>
          <w:color w:val="FFFFFF" w:themeColor="background1"/>
        </w:rPr>
        <w:t xml:space="preserve">“[Benefit programs are] </w:t>
      </w:r>
      <w:proofErr w:type="gramStart"/>
      <w:r w:rsidRPr="003400B8">
        <w:rPr>
          <w:b/>
          <w:bCs/>
          <w:color w:val="FFFFFF" w:themeColor="background1"/>
        </w:rPr>
        <w:t>actually life</w:t>
      </w:r>
      <w:proofErr w:type="gramEnd"/>
      <w:r w:rsidRPr="003400B8">
        <w:rPr>
          <w:b/>
          <w:bCs/>
          <w:color w:val="FFFFFF" w:themeColor="background1"/>
        </w:rPr>
        <w:t xml:space="preserve"> or death, especially with </w:t>
      </w:r>
      <w:r w:rsidR="004D60B0">
        <w:rPr>
          <w:b/>
          <w:bCs/>
          <w:color w:val="FFFFFF" w:themeColor="background1"/>
        </w:rPr>
        <w:br/>
      </w:r>
      <w:r w:rsidRPr="003400B8">
        <w:rPr>
          <w:b/>
          <w:bCs/>
          <w:color w:val="FFFFFF" w:themeColor="background1"/>
        </w:rPr>
        <w:t xml:space="preserve">medication costs. If you can't afford your medication, you're not going </w:t>
      </w:r>
      <w:r w:rsidR="00782942">
        <w:rPr>
          <w:b/>
          <w:bCs/>
          <w:color w:val="FFFFFF" w:themeColor="background1"/>
        </w:rPr>
        <w:br/>
      </w:r>
      <w:r w:rsidRPr="003400B8">
        <w:rPr>
          <w:b/>
          <w:bCs/>
          <w:color w:val="FFFFFF" w:themeColor="background1"/>
        </w:rPr>
        <w:t xml:space="preserve">to take it, or you'll take it every other day, or you'll take a half a dose, </w:t>
      </w:r>
      <w:r w:rsidR="00782942">
        <w:rPr>
          <w:b/>
          <w:bCs/>
          <w:color w:val="FFFFFF" w:themeColor="background1"/>
        </w:rPr>
        <w:br/>
      </w:r>
      <w:r w:rsidRPr="003400B8">
        <w:rPr>
          <w:b/>
          <w:bCs/>
          <w:color w:val="FFFFFF" w:themeColor="background1"/>
        </w:rPr>
        <w:t>or you'll split it with your spouse.”</w:t>
      </w:r>
      <w:r w:rsidRPr="003400B8">
        <w:rPr>
          <w:b/>
          <w:bCs/>
          <w:color w:val="FFFFFF" w:themeColor="background1"/>
          <w:vertAlign w:val="superscript"/>
        </w:rPr>
        <w:endnoteReference w:id="83"/>
      </w:r>
    </w:p>
    <w:p w14:paraId="14C348B2" w14:textId="79D9A44A" w:rsidR="007B5EB8" w:rsidRPr="00BA10B0" w:rsidRDefault="007B5EB8" w:rsidP="00632B24">
      <w:pPr>
        <w:spacing w:before="360"/>
      </w:pPr>
      <w:r w:rsidRPr="0036241E">
        <w:rPr>
          <w:rStyle w:val="Emphasis"/>
        </w:rPr>
        <w:t>Reduce disparities.</w:t>
      </w:r>
      <w:r w:rsidRPr="00BA10B0">
        <w:rPr>
          <w:b/>
        </w:rPr>
        <w:t xml:space="preserve"> </w:t>
      </w:r>
      <w:r w:rsidRPr="000E0093">
        <w:t>Multigenerational households are common among communities of color. About 26% of Latino families, 24% of Asian families, and 26% of Black families report living with multiple generations under one roof.</w:t>
      </w:r>
      <w:r w:rsidRPr="000E0093">
        <w:rPr>
          <w:rStyle w:val="EndnoteReference"/>
          <w:rFonts w:ascii="Calibri" w:hAnsi="Calibri" w:cs="Calibri"/>
          <w:sz w:val="22"/>
          <w:szCs w:val="22"/>
        </w:rPr>
        <w:endnoteReference w:id="84"/>
      </w:r>
      <w:r w:rsidRPr="000E0093">
        <w:t xml:space="preserve"> Reducing out-of-pocket Medicare costs for low-income individuals in these households can help reduce disparities in health care use and access affecting racial and ethnic groups.</w:t>
      </w:r>
      <w:r w:rsidRPr="000E0093">
        <w:rPr>
          <w:rStyle w:val="EndnoteReference"/>
          <w:rFonts w:ascii="Calibri" w:hAnsi="Calibri" w:cs="Calibri"/>
          <w:sz w:val="22"/>
          <w:szCs w:val="22"/>
        </w:rPr>
        <w:endnoteReference w:id="85"/>
      </w:r>
    </w:p>
    <w:p w14:paraId="056E7879" w14:textId="77777777" w:rsidR="007B5EB8" w:rsidRDefault="007B5EB8" w:rsidP="007B5EB8">
      <w:pPr>
        <w:pStyle w:val="Heading3"/>
        <w:rPr>
          <w:bCs/>
        </w:rPr>
      </w:pPr>
      <w:r w:rsidRPr="00C1693F">
        <w:t>Other marginal effects</w:t>
      </w:r>
      <w:r>
        <w:t xml:space="preserve">: </w:t>
      </w:r>
    </w:p>
    <w:p w14:paraId="645CC052" w14:textId="1F7A3935" w:rsidR="007B5EB8" w:rsidRPr="00BA10B0" w:rsidRDefault="007B5EB8" w:rsidP="007B5EB8">
      <w:pPr>
        <w:rPr>
          <w:b/>
        </w:rPr>
      </w:pPr>
      <w:r w:rsidRPr="0036241E">
        <w:rPr>
          <w:rStyle w:val="Emphasis"/>
        </w:rPr>
        <w:t xml:space="preserve">Temporarily increase costs for states. </w:t>
      </w:r>
      <w:r w:rsidRPr="000E0093">
        <w:t>State expenditures for Medicare Part A and B premiums and cost sharing for Qualified Medicare Beneficiaries (QMBs) and Part B premiums for Specified Low-Income Medicare Beneficiaries (SLMBs)</w:t>
      </w:r>
      <w:r w:rsidRPr="000E0093" w:rsidDel="00FB3D76">
        <w:t xml:space="preserve"> </w:t>
      </w:r>
      <w:r w:rsidRPr="000E0093">
        <w:t xml:space="preserve">would rise for those newly made eligible. However, as described </w:t>
      </w:r>
      <w:r w:rsidRPr="00BA10B0">
        <w:t>in the technical notes below, federal actuaries previously estimated this provision would result in only a small increase in enrollment.</w:t>
      </w:r>
      <w:r>
        <w:rPr>
          <w:rStyle w:val="EndnoteReference"/>
          <w:rFonts w:ascii="Calibri" w:hAnsi="Calibri" w:cs="Calibri"/>
          <w:sz w:val="22"/>
          <w:szCs w:val="22"/>
        </w:rPr>
        <w:endnoteReference w:id="86"/>
      </w:r>
      <w:r w:rsidRPr="00BA10B0">
        <w:t xml:space="preserve"> Therefore, the cost in any given state would be modest. Furthermore, federal regulations already require this policy by September 30, 2034.</w:t>
      </w:r>
      <w:r>
        <w:rPr>
          <w:rStyle w:val="EndnoteReference"/>
          <w:rFonts w:ascii="Calibri" w:hAnsi="Calibri" w:cs="Calibri"/>
          <w:sz w:val="22"/>
          <w:szCs w:val="22"/>
        </w:rPr>
        <w:endnoteReference w:id="87"/>
      </w:r>
      <w:r w:rsidRPr="00BA10B0">
        <w:t xml:space="preserve"> Therefore, any additional state expenditures, relative to a current-law baseline, would only be incurred through August 2034.</w:t>
      </w:r>
    </w:p>
    <w:p w14:paraId="37B1CAA4" w14:textId="77777777" w:rsidR="007B5EB8" w:rsidRPr="00BA10B0" w:rsidRDefault="007B5EB8" w:rsidP="007B5EB8">
      <w:pPr>
        <w:rPr>
          <w:b/>
        </w:rPr>
      </w:pPr>
      <w:r w:rsidRPr="0036241E">
        <w:rPr>
          <w:rStyle w:val="Emphasis"/>
        </w:rPr>
        <w:t>Maximize federal funding.</w:t>
      </w:r>
      <w:r w:rsidRPr="00BA10B0">
        <w:rPr>
          <w:b/>
          <w:bCs/>
        </w:rPr>
        <w:t xml:space="preserve"> </w:t>
      </w:r>
      <w:r w:rsidRPr="000E0093">
        <w:t xml:space="preserve">This option would allow certain caregivers who were previously ineligible to enroll in Medicare Part B premium coverage under Qualifying Individuals (QI) without introducing new </w:t>
      </w:r>
      <w:r w:rsidRPr="00BA10B0">
        <w:t xml:space="preserve">direct costs to states, as QI is fully funded through annual </w:t>
      </w:r>
      <w:r w:rsidRPr="0036241E">
        <w:t>federal allocations.</w:t>
      </w:r>
      <w:r w:rsidRPr="0036241E">
        <w:rPr>
          <w:rStyle w:val="EndnoteReference"/>
          <w:rFonts w:ascii="Calibri" w:hAnsi="Calibri" w:cs="Calibri"/>
          <w:sz w:val="22"/>
          <w:szCs w:val="22"/>
        </w:rPr>
        <w:endnoteReference w:id="88"/>
      </w:r>
    </w:p>
    <w:p w14:paraId="36866599" w14:textId="77777777" w:rsidR="007B5EB8" w:rsidRPr="00BA10B0" w:rsidRDefault="007B5EB8" w:rsidP="007B5EB8">
      <w:pPr>
        <w:rPr>
          <w:b/>
          <w:bCs/>
        </w:rPr>
      </w:pPr>
      <w:r w:rsidRPr="0036241E">
        <w:rPr>
          <w:rStyle w:val="Emphasis"/>
        </w:rPr>
        <w:t xml:space="preserve">Better align the Medicare subsidy programs. </w:t>
      </w:r>
      <w:r w:rsidRPr="00BA10B0">
        <w:t>This change is consistent with Part D Extra Help’s broader definition of family size for the MSPs. If other policies in the Medicare subsidy programs were similarly aligned, states could better use Part D application data for Medicare Savings Program applications, thus reducing paperwork burdens for applicants and their families.</w:t>
      </w:r>
    </w:p>
    <w:p w14:paraId="5EDC376B" w14:textId="77777777" w:rsidR="007B5EB8" w:rsidRPr="00736CD9" w:rsidRDefault="007B5EB8" w:rsidP="00646851">
      <w:pPr>
        <w:pStyle w:val="Heading2"/>
      </w:pPr>
      <w:r w:rsidRPr="00736CD9">
        <w:t xml:space="preserve">Similar Policies and Proposals </w:t>
      </w:r>
    </w:p>
    <w:p w14:paraId="59D09CF7" w14:textId="77777777" w:rsidR="007B5EB8" w:rsidRDefault="007B5EB8" w:rsidP="007B5EB8">
      <w:r w:rsidRPr="1B740856">
        <w:t xml:space="preserve">The federal Centers for Medicare &amp; Medicaid Services (CMS) proposed and finalized a regulation to require states to define ‘‘family of the size involved’’ to include at least the </w:t>
      </w:r>
      <w:r>
        <w:t xml:space="preserve">individuals described in the Part D Extra Help definition of family size, including the </w:t>
      </w:r>
      <w:r w:rsidRPr="1B740856">
        <w:t>applicant, the applicant’s spouse</w:t>
      </w:r>
      <w:r>
        <w:t xml:space="preserve"> (if residing in the same household)</w:t>
      </w:r>
      <w:r w:rsidRPr="1B740856">
        <w:t>, and all other individuals living in the same household who are related to and dependent on the applicant or applicant’s spouse.</w:t>
      </w:r>
      <w:r w:rsidRPr="1B740856">
        <w:rPr>
          <w:rStyle w:val="EndnoteReference"/>
          <w:rFonts w:ascii="Calibri" w:hAnsi="Calibri" w:cs="Calibri"/>
          <w:sz w:val="22"/>
          <w:szCs w:val="22"/>
        </w:rPr>
        <w:endnoteReference w:id="89"/>
      </w:r>
      <w:r w:rsidRPr="1B740856">
        <w:t xml:space="preserve"> In July 2025, Congress passed a moratorium on CMS enforcement of the rule until September 30, 2034.</w:t>
      </w:r>
      <w:r w:rsidRPr="1B740856">
        <w:rPr>
          <w:rStyle w:val="EndnoteReference"/>
          <w:rFonts w:ascii="Calibri" w:hAnsi="Calibri" w:cs="Calibri"/>
          <w:sz w:val="22"/>
          <w:szCs w:val="22"/>
        </w:rPr>
        <w:endnoteReference w:id="90"/>
      </w:r>
      <w:r w:rsidRPr="1B740856">
        <w:t xml:space="preserve"> Nonetheless, states can still choose to amend their </w:t>
      </w:r>
      <w:r>
        <w:t xml:space="preserve">State </w:t>
      </w:r>
      <w:r w:rsidRPr="1B740856">
        <w:t xml:space="preserve">Medicaid </w:t>
      </w:r>
      <w:r>
        <w:t xml:space="preserve">Plan </w:t>
      </w:r>
      <w:r w:rsidRPr="1B740856">
        <w:t>to implement the change.</w:t>
      </w:r>
    </w:p>
    <w:p w14:paraId="42565D3C" w14:textId="4EEEF281" w:rsidR="007B5EB8" w:rsidRDefault="007B5EB8" w:rsidP="007B5EB8">
      <w:pPr>
        <w:pStyle w:val="Heading2"/>
      </w:pPr>
      <w:bookmarkStart w:id="26" w:name="_Toc226982647"/>
      <w:r>
        <w:t>Questions and Answers</w:t>
      </w:r>
      <w:bookmarkEnd w:id="26"/>
    </w:p>
    <w:p w14:paraId="6C618B4C" w14:textId="77777777" w:rsidR="007B5EB8" w:rsidRPr="00E97431" w:rsidRDefault="007B5EB8" w:rsidP="007B5EB8">
      <w:pPr>
        <w:rPr>
          <w:i/>
          <w:iCs/>
        </w:rPr>
      </w:pPr>
      <w:r w:rsidRPr="00984EE8">
        <w:rPr>
          <w:rStyle w:val="BlueEmphasisChar"/>
        </w:rPr>
        <w:t>Who is counted in the expanded definition of family size for the MSPs?</w:t>
      </w:r>
      <w:r w:rsidRPr="00E97431">
        <w:t xml:space="preserve"> This broader definition includes: </w:t>
      </w:r>
    </w:p>
    <w:p w14:paraId="629C0AB1" w14:textId="77777777" w:rsidR="007B5EB8" w:rsidRDefault="007B5EB8" w:rsidP="00854885">
      <w:pPr>
        <w:pStyle w:val="Bullets"/>
      </w:pPr>
      <w:r w:rsidRPr="00E97431">
        <w:t>The applicant</w:t>
      </w:r>
    </w:p>
    <w:p w14:paraId="5F0D1C77" w14:textId="77777777" w:rsidR="007B5EB8" w:rsidRDefault="007B5EB8" w:rsidP="00854885">
      <w:pPr>
        <w:pStyle w:val="Bullets"/>
      </w:pPr>
      <w:r w:rsidRPr="00E97431">
        <w:t>The applicant's spouse (if living in the same household)</w:t>
      </w:r>
    </w:p>
    <w:p w14:paraId="47003077" w14:textId="56C8590D" w:rsidR="007B5EB8" w:rsidRPr="00E97431" w:rsidRDefault="007B5EB8" w:rsidP="00854885">
      <w:pPr>
        <w:pStyle w:val="Bullets"/>
      </w:pPr>
      <w:r w:rsidRPr="00E97431">
        <w:t>Other household members who are related by blood, marriage, or adoption and who rely on the applicant or the applicant’s spouse for at least half of their financial support (e.g., children and stepchildren, grandchildren and step-grandchildren, nieces, nephews, cousins, and in-laws).</w:t>
      </w:r>
      <w:r>
        <w:rPr>
          <w:rStyle w:val="EndnoteReference"/>
          <w:rFonts w:ascii="Calibri" w:hAnsi="Calibri" w:cs="Calibri"/>
          <w:sz w:val="22"/>
          <w:szCs w:val="22"/>
        </w:rPr>
        <w:endnoteReference w:id="91"/>
      </w:r>
    </w:p>
    <w:p w14:paraId="6D00512A" w14:textId="77777777" w:rsidR="007B5EB8" w:rsidRDefault="007B5EB8" w:rsidP="007B5EB8">
      <w:r w:rsidRPr="00984EE8">
        <w:rPr>
          <w:rStyle w:val="BlueEmphasisChar"/>
        </w:rPr>
        <w:t>What effect would this have on eligibility for any given applicant?</w:t>
      </w:r>
      <w:r w:rsidRPr="00E97431">
        <w:t xml:space="preserve"> It varies based on the number of dependents involved, but here’s an example for an MSP applicant raising two dependent children in 2026:</w:t>
      </w:r>
    </w:p>
    <w:p w14:paraId="7378CBD0" w14:textId="77777777" w:rsidR="007B5EB8" w:rsidRPr="007B5EB8" w:rsidRDefault="007B5EB8" w:rsidP="00854885">
      <w:pPr>
        <w:pStyle w:val="Bullets"/>
        <w:rPr>
          <w:i/>
          <w:iCs/>
        </w:rPr>
      </w:pPr>
      <w:r w:rsidRPr="00E97431">
        <w:t>Qualified Medicare Beneficiary income limit based on family size of one (status quo in many states): $1,350/month</w:t>
      </w:r>
    </w:p>
    <w:p w14:paraId="12D97835" w14:textId="4255DFD5" w:rsidR="007B5EB8" w:rsidRPr="007B5EB8" w:rsidRDefault="007B5EB8" w:rsidP="00854885">
      <w:pPr>
        <w:pStyle w:val="Bullets"/>
        <w:rPr>
          <w:i/>
          <w:iCs/>
        </w:rPr>
      </w:pPr>
      <w:r w:rsidRPr="00E97431">
        <w:t>Qualified Medicare Beneficiary income limit based on family size of three (i.e., counting two dependent children): $2,297/month</w:t>
      </w:r>
      <w:r w:rsidRPr="000240A6">
        <w:rPr>
          <w:rStyle w:val="EndnoteReference"/>
          <w:rFonts w:ascii="Calibri" w:hAnsi="Calibri" w:cs="Calibri"/>
          <w:sz w:val="22"/>
          <w:szCs w:val="22"/>
        </w:rPr>
        <w:endnoteReference w:id="92"/>
      </w:r>
    </w:p>
    <w:p w14:paraId="4A947EE6" w14:textId="77777777" w:rsidR="007B5EB8" w:rsidRDefault="007B5EB8" w:rsidP="007B5EB8">
      <w:pPr>
        <w:rPr>
          <w:i/>
          <w:iCs/>
        </w:rPr>
      </w:pPr>
      <w:r w:rsidRPr="00984EE8">
        <w:rPr>
          <w:rStyle w:val="BlueEmphasisChar"/>
        </w:rPr>
        <w:t>How common is it for Medicare beneficiaries to be supporting others in their household?</w:t>
      </w:r>
      <w:r w:rsidRPr="00E97431">
        <w:t xml:space="preserve"> We are not aware of a comprehensive data source for Medicare beneficiaries supporting dependents, although federal data provide a sense of scope: </w:t>
      </w:r>
    </w:p>
    <w:p w14:paraId="6ABEE733" w14:textId="77777777" w:rsidR="007B5EB8" w:rsidRPr="007B5EB8" w:rsidRDefault="007B5EB8" w:rsidP="00854885">
      <w:pPr>
        <w:pStyle w:val="Bullets"/>
        <w:ind w:left="450"/>
        <w:rPr>
          <w:i/>
          <w:iCs/>
        </w:rPr>
      </w:pPr>
      <w:r w:rsidRPr="00E97431">
        <w:t>In 2023, about 2.4 million children in the United States were raised by grandparents, other relatives, or close family friends because their parents were unable to care for them. These families are more likely to experience poverty than other families.</w:t>
      </w:r>
      <w:r>
        <w:rPr>
          <w:rStyle w:val="EndnoteReference"/>
          <w:rFonts w:ascii="Calibri" w:hAnsi="Calibri" w:cs="Calibri"/>
          <w:sz w:val="22"/>
          <w:szCs w:val="22"/>
        </w:rPr>
        <w:endnoteReference w:id="93"/>
      </w:r>
    </w:p>
    <w:p w14:paraId="043408ED" w14:textId="77777777" w:rsidR="007B5EB8" w:rsidRPr="007B5EB8" w:rsidRDefault="007B5EB8" w:rsidP="00854885">
      <w:pPr>
        <w:pStyle w:val="Bullets"/>
        <w:ind w:left="450"/>
        <w:rPr>
          <w:i/>
          <w:iCs/>
        </w:rPr>
      </w:pPr>
      <w:r w:rsidRPr="00E97431">
        <w:t>An estimated 1 million adults with intellectual or developmental disabilities live with aging caregivers.</w:t>
      </w:r>
      <w:r>
        <w:rPr>
          <w:rStyle w:val="EndnoteReference"/>
          <w:rFonts w:ascii="Calibri" w:hAnsi="Calibri" w:cs="Calibri"/>
          <w:sz w:val="22"/>
          <w:szCs w:val="22"/>
        </w:rPr>
        <w:endnoteReference w:id="94"/>
      </w:r>
    </w:p>
    <w:p w14:paraId="5F30B36D" w14:textId="129F4C05" w:rsidR="007B5EB8" w:rsidRPr="007B5EB8" w:rsidRDefault="007B5EB8" w:rsidP="00854885">
      <w:pPr>
        <w:pStyle w:val="Bullets"/>
        <w:ind w:left="450"/>
        <w:rPr>
          <w:i/>
          <w:iCs/>
        </w:rPr>
      </w:pPr>
      <w:r w:rsidRPr="00E97431">
        <w:t>In 2021, more than two million grandparents were raising their grandchildren across the U.S. with variation across states.</w:t>
      </w:r>
      <w:r>
        <w:rPr>
          <w:rStyle w:val="EndnoteReference"/>
          <w:rFonts w:ascii="Calibri" w:hAnsi="Calibri" w:cs="Calibri"/>
          <w:sz w:val="22"/>
          <w:szCs w:val="22"/>
        </w:rPr>
        <w:endnoteReference w:id="95"/>
      </w:r>
      <w:r w:rsidRPr="00E97431">
        <w:t xml:space="preserve"> More than eight in ten of these grandparents had been doing so for at least a year, and nearly half of them had done so for at least five years. Only a fraction of grandparents </w:t>
      </w:r>
      <w:proofErr w:type="gramStart"/>
      <w:r w:rsidRPr="00E97431">
        <w:t>are</w:t>
      </w:r>
      <w:proofErr w:type="gramEnd"/>
      <w:r w:rsidRPr="00E97431">
        <w:t xml:space="preserve"> Medicare-eligible, but these data sources likely miss other circumstances in which Medicare beneficiaries support dependents.  </w:t>
      </w:r>
    </w:p>
    <w:p w14:paraId="09C464F7" w14:textId="77777777" w:rsidR="007B5EB8" w:rsidRPr="00E97431" w:rsidRDefault="007B5EB8" w:rsidP="007B5EB8">
      <w:pPr>
        <w:rPr>
          <w:i/>
          <w:iCs/>
        </w:rPr>
      </w:pPr>
      <w:r w:rsidRPr="00984EE8">
        <w:rPr>
          <w:rStyle w:val="BlueEmphasisChar"/>
        </w:rPr>
        <w:t>Could this policy adversely affect MSP eligibility by raising household income?</w:t>
      </w:r>
      <w:r w:rsidRPr="00E97431">
        <w:rPr>
          <w:iCs/>
        </w:rPr>
        <w:t xml:space="preserve"> </w:t>
      </w:r>
      <w:r w:rsidRPr="00E97431">
        <w:t>States only count the income of a spouse or the income of a parent if the applicant is a child under 21, blind or disabled—</w:t>
      </w:r>
      <w:proofErr w:type="spellStart"/>
      <w:r w:rsidRPr="00E97431">
        <w:t>not</w:t>
      </w:r>
      <w:proofErr w:type="spellEnd"/>
      <w:r w:rsidRPr="00E97431">
        <w:t xml:space="preserve"> other relatives in the calculation.</w:t>
      </w:r>
      <w:r>
        <w:rPr>
          <w:rStyle w:val="EndnoteReference"/>
          <w:rFonts w:ascii="Calibri" w:hAnsi="Calibri" w:cs="Calibri"/>
          <w:sz w:val="22"/>
          <w:szCs w:val="22"/>
        </w:rPr>
        <w:endnoteReference w:id="96"/>
      </w:r>
      <w:r w:rsidRPr="00E97431">
        <w:t xml:space="preserve"> </w:t>
      </w:r>
    </w:p>
    <w:p w14:paraId="219CCA34" w14:textId="67909A08" w:rsidR="007B5EB8" w:rsidRPr="007B4D4D" w:rsidRDefault="007B5EB8" w:rsidP="007B5EB8">
      <w:pPr>
        <w:rPr>
          <w:i/>
          <w:iCs/>
        </w:rPr>
      </w:pPr>
      <w:r w:rsidRPr="00984EE8">
        <w:rPr>
          <w:rStyle w:val="BlueEmphasisChar"/>
        </w:rPr>
        <w:t>Would this only apply to Medicare Savings Program eligibility groups?</w:t>
      </w:r>
      <w:r w:rsidRPr="00CE7C46">
        <w:t xml:space="preserve"> </w:t>
      </w:r>
      <w:r w:rsidRPr="28D6B40F">
        <w:t xml:space="preserve">This is a policy decision for each state. Our model legislation applies to the </w:t>
      </w:r>
      <w:r>
        <w:t>QMB, SLMB,</w:t>
      </w:r>
      <w:r w:rsidR="00240060">
        <w:t xml:space="preserve"> </w:t>
      </w:r>
      <w:r w:rsidRPr="00A4165E">
        <w:t>QI</w:t>
      </w:r>
      <w:r w:rsidR="002B38C8" w:rsidRPr="00A4165E">
        <w:t>, and QDWI</w:t>
      </w:r>
      <w:r w:rsidRPr="00A4165E">
        <w:t xml:space="preserve"> eligibility groups,</w:t>
      </w:r>
      <w:r w:rsidRPr="28D6B40F">
        <w:t xml:space="preserve"> but a state can choose to apply the policy to other </w:t>
      </w:r>
      <w:r>
        <w:t>Medicaid</w:t>
      </w:r>
      <w:r w:rsidRPr="28D6B40F">
        <w:t xml:space="preserve"> eligibility group</w:t>
      </w:r>
      <w:r>
        <w:t>s</w:t>
      </w:r>
      <w:r w:rsidRPr="28D6B40F">
        <w:t xml:space="preserve">. Applying the change only </w:t>
      </w:r>
      <w:r>
        <w:t xml:space="preserve">to </w:t>
      </w:r>
      <w:r w:rsidRPr="28D6B40F">
        <w:t xml:space="preserve">the </w:t>
      </w:r>
      <w:r>
        <w:t>MSP</w:t>
      </w:r>
      <w:r w:rsidRPr="28D6B40F">
        <w:t xml:space="preserve"> eligibility groups costs less than applying to </w:t>
      </w:r>
      <w:r>
        <w:t>additional</w:t>
      </w:r>
      <w:r w:rsidRPr="28D6B40F">
        <w:t xml:space="preserve"> Medicaid eligibility groups</w:t>
      </w:r>
      <w:r>
        <w:t xml:space="preserve"> but</w:t>
      </w:r>
      <w:r w:rsidRPr="28D6B40F">
        <w:t xml:space="preserve"> benefits fewer families and creates inconsistency across eligibility groups. </w:t>
      </w:r>
    </w:p>
    <w:p w14:paraId="5C73CEA8" w14:textId="77777777" w:rsidR="007B5EB8" w:rsidRPr="00E97431" w:rsidRDefault="007B5EB8" w:rsidP="007B5EB8">
      <w:r w:rsidRPr="00984EE8">
        <w:rPr>
          <w:rStyle w:val="BlueEmphasisChar"/>
        </w:rPr>
        <w:t>What steps would a state need to take to make this change?</w:t>
      </w:r>
      <w:r w:rsidRPr="00E97431">
        <w:t xml:space="preserve"> The change would likely require short-term policy and operational investments to update eligibility systems, including amending the State Medicaid Plan and updating manuals and related rules and guidance.</w:t>
      </w:r>
    </w:p>
    <w:p w14:paraId="4F4E55FA" w14:textId="56E02765" w:rsidR="007B5EB8" w:rsidRDefault="007B5EB8">
      <w:pPr>
        <w:spacing w:after="160"/>
      </w:pPr>
      <w:r>
        <w:br w:type="page"/>
      </w:r>
    </w:p>
    <w:p w14:paraId="0A2B705D" w14:textId="77777777" w:rsidR="001A730E" w:rsidRDefault="001A730E">
      <w:pPr>
        <w:spacing w:after="160"/>
      </w:pPr>
    </w:p>
    <w:p w14:paraId="0CAFF45C" w14:textId="77777777" w:rsidR="00A951A9" w:rsidRDefault="00A951A9" w:rsidP="00B972B6">
      <w:pPr>
        <w:pStyle w:val="TechnicalAppendixHeader"/>
        <w:sectPr w:rsidR="00A951A9" w:rsidSect="00BC71B3">
          <w:footerReference w:type="default" r:id="rId51"/>
          <w:endnotePr>
            <w:numFmt w:val="decimal"/>
          </w:endnotePr>
          <w:pgSz w:w="12240" w:h="15840"/>
          <w:pgMar w:top="1440" w:right="1440" w:bottom="1440" w:left="1440" w:header="720" w:footer="432" w:gutter="0"/>
          <w:cols w:space="720"/>
          <w:docGrid w:linePitch="360"/>
        </w:sectPr>
      </w:pPr>
      <w:bookmarkStart w:id="27" w:name="_Toc226982648"/>
    </w:p>
    <w:p w14:paraId="54AA734B" w14:textId="7285B6CF" w:rsidR="00A15597" w:rsidRPr="006E5E24" w:rsidRDefault="00A15597" w:rsidP="00A15597">
      <w:pPr>
        <w:pStyle w:val="EndnoteText"/>
        <w:rPr>
          <w:rFonts w:cs="Tahoma"/>
          <w:sz w:val="16"/>
          <w:szCs w:val="16"/>
        </w:rPr>
      </w:pPr>
      <w:r>
        <w:rPr>
          <w:rFonts w:cs="Tahoma"/>
          <w:sz w:val="16"/>
          <w:szCs w:val="16"/>
        </w:rPr>
        <w:t>_______________________________</w:t>
      </w:r>
    </w:p>
    <w:p w14:paraId="66A00809" w14:textId="4E0C93D5" w:rsidR="007B5EB8" w:rsidRPr="00D71B2C" w:rsidRDefault="007B5EB8" w:rsidP="006A481A">
      <w:pPr>
        <w:pStyle w:val="TechnicalAppendixHeader"/>
      </w:pPr>
      <w:r w:rsidRPr="00D71B2C">
        <w:t>Model policy appendix: Technical notes on quantifying impacts</w:t>
      </w:r>
      <w:bookmarkEnd w:id="27"/>
    </w:p>
    <w:p w14:paraId="3DDB0184" w14:textId="77777777" w:rsidR="007B5EB8" w:rsidRPr="000240A6" w:rsidRDefault="007B5EB8" w:rsidP="007B5EB8">
      <w:pPr>
        <w:pStyle w:val="TechnicalAppendixText"/>
      </w:pPr>
      <w:r w:rsidRPr="000240A6">
        <w:t>States pay a share of costs to cover Medicare Part B premiums and cost sharing for people in the Medicare Savings Programs. This model policy would make it possible for more caregiver Medicare beneficiaries to qualify for the MSPs. Therefore, we expect that both MSP enrollment and state expenditures for Medicare premiums and cost sharing would increase under this policy.</w:t>
      </w:r>
    </w:p>
    <w:p w14:paraId="4B469E51" w14:textId="77777777" w:rsidR="007B5EB8" w:rsidRPr="000240A6" w:rsidRDefault="007B5EB8" w:rsidP="007B5EB8">
      <w:pPr>
        <w:pStyle w:val="TechnicalAppendixText"/>
      </w:pPr>
      <w:r w:rsidRPr="000240A6">
        <w:t>The extent of these impacts would be unique to each state. The enrollment impact in any state depends on the number of Medicare beneficiaries in the state who support others in their household and have incomes just above the current MSP eligibility thresholds.</w:t>
      </w:r>
    </w:p>
    <w:p w14:paraId="49B9A364" w14:textId="77777777" w:rsidR="007B5EB8" w:rsidRPr="000240A6" w:rsidRDefault="007B5EB8" w:rsidP="007B5EB8">
      <w:pPr>
        <w:pStyle w:val="TechnicalAppendixText"/>
      </w:pPr>
      <w:r w:rsidRPr="000240A6">
        <w:t>The net state cost impacts would be driven by:</w:t>
      </w:r>
    </w:p>
    <w:p w14:paraId="729A6269" w14:textId="77777777" w:rsidR="007B5EB8" w:rsidRDefault="007B5EB8" w:rsidP="00142C0A">
      <w:pPr>
        <w:pStyle w:val="TechnicalAppendixText"/>
        <w:numPr>
          <w:ilvl w:val="0"/>
          <w:numId w:val="8"/>
        </w:numPr>
        <w:spacing w:after="180"/>
        <w:ind w:left="360"/>
      </w:pPr>
      <w:r w:rsidRPr="199FDB64">
        <w:t>New premium costs for people who were not previously enrolled in the QMB, SLMB, or QDWI eligibility groups (the QI group is 100% federally funded, so there is no state fiscal impact from any QI enrollment increases),</w:t>
      </w:r>
    </w:p>
    <w:p w14:paraId="5F1B23D9" w14:textId="77777777" w:rsidR="007B5EB8" w:rsidRDefault="007B5EB8" w:rsidP="00142C0A">
      <w:pPr>
        <w:pStyle w:val="TechnicalAppendixText"/>
        <w:numPr>
          <w:ilvl w:val="0"/>
          <w:numId w:val="8"/>
        </w:numPr>
        <w:spacing w:after="180"/>
        <w:ind w:left="360"/>
      </w:pPr>
      <w:r w:rsidRPr="000240A6">
        <w:t>New spending on other Medicare Part A or Part B cost sharing for people newly eligible for the QMB group, and</w:t>
      </w:r>
    </w:p>
    <w:p w14:paraId="4F58BA18" w14:textId="66F84FD2" w:rsidR="007B5EB8" w:rsidRPr="000240A6" w:rsidRDefault="007B5EB8" w:rsidP="00142C0A">
      <w:pPr>
        <w:pStyle w:val="TechnicalAppendixText"/>
        <w:numPr>
          <w:ilvl w:val="0"/>
          <w:numId w:val="8"/>
        </w:numPr>
        <w:spacing w:after="180"/>
        <w:ind w:left="360"/>
      </w:pPr>
      <w:r w:rsidRPr="000240A6">
        <w:t>Possible offsetting savings to state pharmaceutical assistance programs, because new MSP beneficiaries are automatically enrolled in Part D Extra Help.</w:t>
      </w:r>
    </w:p>
    <w:p w14:paraId="734067EC" w14:textId="77777777" w:rsidR="007B5EB8" w:rsidRPr="000240A6" w:rsidRDefault="007B5EB8" w:rsidP="007B5EB8">
      <w:pPr>
        <w:pStyle w:val="TechnicalAppendixText"/>
      </w:pPr>
      <w:r w:rsidRPr="000240A6">
        <w:t>Prior federal estimates give a rough sense of magnitude for the impact of this model policy. CMS previously estimated that multiple policies, including expansions to “family size” as envisioned in this model policy, would result in a modest increase in MSP enrollment (the equivalent of around 20,000 people nationally—</w:t>
      </w:r>
      <w:r>
        <w:t>roughly 0.2%</w:t>
      </w:r>
      <w:r w:rsidRPr="000240A6">
        <w:t>—and an annual $220 million in state funds if adopted nationwide).</w:t>
      </w:r>
      <w:r w:rsidRPr="000240A6">
        <w:rPr>
          <w:rStyle w:val="EndnoteReference"/>
          <w:rFonts w:ascii="Calibri" w:hAnsi="Calibri" w:cs="Calibri"/>
          <w:sz w:val="22"/>
          <w:szCs w:val="22"/>
        </w:rPr>
        <w:endnoteReference w:id="97"/>
      </w:r>
      <w:r w:rsidRPr="000240A6">
        <w:t xml:space="preserve"> Therefore, the cost in any given state would be modest relative to the scale of its Medicaid program. </w:t>
      </w:r>
    </w:p>
    <w:p w14:paraId="0B54DA90" w14:textId="77777777" w:rsidR="007B5EB8" w:rsidRPr="000240A6" w:rsidRDefault="007B5EB8" w:rsidP="007B5EB8">
      <w:pPr>
        <w:pStyle w:val="TechnicalAppendixText"/>
      </w:pPr>
      <w:r w:rsidRPr="000240A6">
        <w:t>Finally, federal regulations already require this policy by September 30, 2034.</w:t>
      </w:r>
      <w:r w:rsidRPr="000240A6">
        <w:rPr>
          <w:rStyle w:val="EndnoteReference"/>
          <w:rFonts w:ascii="Calibri" w:hAnsi="Calibri" w:cs="Calibri"/>
          <w:sz w:val="22"/>
          <w:szCs w:val="22"/>
        </w:rPr>
        <w:endnoteReference w:id="98"/>
      </w:r>
      <w:r w:rsidRPr="000240A6">
        <w:t xml:space="preserve"> Therefore, any additional state expenditures, relative to a current-law baseline, would only be incurred through that date.</w:t>
      </w:r>
    </w:p>
    <w:p w14:paraId="71A72E01" w14:textId="77777777" w:rsidR="007B5EB8" w:rsidRDefault="007B5EB8" w:rsidP="007B5EB8">
      <w:pPr>
        <w:spacing w:after="160"/>
        <w:rPr>
          <w:rStyle w:val="Emphasis"/>
          <w:rFonts w:ascii="Calibri" w:hAnsi="Calibri" w:cs="Calibri"/>
          <w:b w:val="0"/>
          <w:bCs w:val="0"/>
          <w:sz w:val="22"/>
          <w:szCs w:val="22"/>
        </w:rPr>
        <w:sectPr w:rsidR="007B5EB8" w:rsidSect="00A951A9">
          <w:endnotePr>
            <w:numFmt w:val="decimal"/>
          </w:endnotePr>
          <w:type w:val="continuous"/>
          <w:pgSz w:w="12240" w:h="15840"/>
          <w:pgMar w:top="1440" w:right="1440" w:bottom="1440" w:left="1440" w:header="720" w:footer="432" w:gutter="0"/>
          <w:cols w:space="720"/>
          <w:docGrid w:linePitch="360"/>
        </w:sectPr>
      </w:pPr>
    </w:p>
    <w:p w14:paraId="4A938222" w14:textId="372716EC" w:rsidR="00240AD7" w:rsidRPr="007B5EB8" w:rsidRDefault="00240AD7" w:rsidP="007B5EB8">
      <w:pPr>
        <w:spacing w:after="160"/>
        <w:rPr>
          <w:rStyle w:val="Emphasis"/>
          <w:rFonts w:ascii="Calibri" w:hAnsi="Calibri" w:cs="Calibri"/>
          <w:b w:val="0"/>
          <w:bCs w:val="0"/>
          <w:sz w:val="22"/>
          <w:szCs w:val="22"/>
        </w:rPr>
      </w:pPr>
    </w:p>
    <w:p w14:paraId="5F5B8AF4" w14:textId="77777777" w:rsidR="006F38BE" w:rsidRDefault="006F38BE" w:rsidP="001E2553"/>
    <w:p w14:paraId="55EE9CAA" w14:textId="77777777" w:rsidR="006F38BE" w:rsidRDefault="006F38BE" w:rsidP="00233ED1">
      <w:pPr>
        <w:pStyle w:val="SectionName"/>
      </w:pPr>
    </w:p>
    <w:p w14:paraId="3DFD006C" w14:textId="77777777" w:rsidR="006F38BE" w:rsidRDefault="006F38BE" w:rsidP="00233ED1">
      <w:pPr>
        <w:pStyle w:val="SectionName"/>
      </w:pPr>
    </w:p>
    <w:p w14:paraId="2E0600D5" w14:textId="77777777" w:rsidR="006F38BE" w:rsidRDefault="006F38BE" w:rsidP="00233ED1">
      <w:pPr>
        <w:pStyle w:val="SectionName"/>
      </w:pPr>
    </w:p>
    <w:p w14:paraId="375ABDCD" w14:textId="3C7C6F4D" w:rsidR="006F38BE" w:rsidRDefault="006F38BE" w:rsidP="00233ED1">
      <w:pPr>
        <w:pStyle w:val="SectionName"/>
      </w:pPr>
    </w:p>
    <w:p w14:paraId="2F3033D2" w14:textId="0C6CDF4E" w:rsidR="006F38BE" w:rsidRDefault="006F38BE" w:rsidP="006F38BE">
      <w:pPr>
        <w:pStyle w:val="SectionName"/>
      </w:pPr>
      <w:bookmarkStart w:id="28" w:name="_Toc226465207"/>
      <w:r>
        <w:t>Simplify</w:t>
      </w:r>
      <w:r w:rsidRPr="1C7D666C">
        <w:t xml:space="preserve"> </w:t>
      </w:r>
      <w:r>
        <w:t xml:space="preserve">Eligibility by </w:t>
      </w:r>
      <w:r w:rsidRPr="714CF974">
        <w:t>Disregard</w:t>
      </w:r>
      <w:r>
        <w:t>ing</w:t>
      </w:r>
      <w:r w:rsidRPr="714CF974">
        <w:t xml:space="preserve"> the Value of Non-Liquid </w:t>
      </w:r>
      <w:r>
        <w:t>Asset</w:t>
      </w:r>
      <w:r w:rsidRPr="714CF974">
        <w:t>s</w:t>
      </w:r>
      <w:bookmarkEnd w:id="28"/>
    </w:p>
    <w:p w14:paraId="139C5552" w14:textId="47BF7C77" w:rsidR="006F38BE" w:rsidRDefault="003B2E14">
      <w:pPr>
        <w:sectPr w:rsidR="006F38BE" w:rsidSect="00BC71B3">
          <w:footerReference w:type="default" r:id="rId52"/>
          <w:endnotePr>
            <w:numFmt w:val="decimal"/>
          </w:endnotePr>
          <w:pgSz w:w="12240" w:h="15840"/>
          <w:pgMar w:top="1440" w:right="1440" w:bottom="1440" w:left="1440" w:header="720" w:footer="432" w:gutter="0"/>
          <w:cols w:space="720"/>
          <w:docGrid w:linePitch="360"/>
        </w:sectPr>
      </w:pPr>
      <w:r>
        <w:rPr>
          <w:noProof/>
        </w:rPr>
        <w:drawing>
          <wp:anchor distT="0" distB="0" distL="114300" distR="114300" simplePos="0" relativeHeight="251658260" behindDoc="0" locked="0" layoutInCell="1" allowOverlap="1" wp14:anchorId="4054744D" wp14:editId="5B2E583B">
            <wp:simplePos x="0" y="0"/>
            <wp:positionH relativeFrom="column">
              <wp:posOffset>2223071</wp:posOffset>
            </wp:positionH>
            <wp:positionV relativeFrom="paragraph">
              <wp:posOffset>569595</wp:posOffset>
            </wp:positionV>
            <wp:extent cx="1488781" cy="1191025"/>
            <wp:effectExtent l="0" t="0" r="0" b="9525"/>
            <wp:wrapNone/>
            <wp:docPr id="965970246" name="Graphic 15" descr="Icon of a t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70246" name="Graphic 15" descr="Icon of a tractor"/>
                    <pic:cNvPicPr/>
                  </pic:nvPicPr>
                  <pic:blipFill>
                    <a:blip r:embed="rId53">
                      <a:extLst>
                        <a:ext uri="{96DAC541-7B7A-43D3-8B79-37D633B846F1}">
                          <asvg:svgBlip xmlns:asvg="http://schemas.microsoft.com/office/drawing/2016/SVG/main" r:embed="rId54"/>
                        </a:ext>
                      </a:extLst>
                    </a:blip>
                    <a:stretch>
                      <a:fillRect/>
                    </a:stretch>
                  </pic:blipFill>
                  <pic:spPr>
                    <a:xfrm>
                      <a:off x="0" y="0"/>
                      <a:ext cx="1488781" cy="1191025"/>
                    </a:xfrm>
                    <a:prstGeom prst="rect">
                      <a:avLst/>
                    </a:prstGeom>
                  </pic:spPr>
                </pic:pic>
              </a:graphicData>
            </a:graphic>
            <wp14:sizeRelH relativeFrom="page">
              <wp14:pctWidth>0</wp14:pctWidth>
            </wp14:sizeRelH>
            <wp14:sizeRelV relativeFrom="page">
              <wp14:pctHeight>0</wp14:pctHeight>
            </wp14:sizeRelV>
          </wp:anchor>
        </w:drawing>
      </w:r>
      <w:r w:rsidR="00FB59D8">
        <w:rPr>
          <w:noProof/>
        </w:rPr>
        <mc:AlternateContent>
          <mc:Choice Requires="wps">
            <w:drawing>
              <wp:anchor distT="0" distB="0" distL="114300" distR="114300" simplePos="0" relativeHeight="251658250" behindDoc="1" locked="0" layoutInCell="1" allowOverlap="1" wp14:anchorId="09BDCA1D" wp14:editId="08B82CD0">
                <wp:simplePos x="0" y="0"/>
                <wp:positionH relativeFrom="column">
                  <wp:posOffset>-452755</wp:posOffset>
                </wp:positionH>
                <wp:positionV relativeFrom="paragraph">
                  <wp:posOffset>318135</wp:posOffset>
                </wp:positionV>
                <wp:extent cx="6873875" cy="1609725"/>
                <wp:effectExtent l="0" t="0" r="22225" b="28575"/>
                <wp:wrapNone/>
                <wp:docPr id="1395516308" name="Rectangle 121"/>
                <wp:cNvGraphicFramePr/>
                <a:graphic xmlns:a="http://schemas.openxmlformats.org/drawingml/2006/main">
                  <a:graphicData uri="http://schemas.microsoft.com/office/word/2010/wordprocessingShape">
                    <wps:wsp>
                      <wps:cNvSpPr/>
                      <wps:spPr>
                        <a:xfrm>
                          <a:off x="0" y="0"/>
                          <a:ext cx="6873875" cy="1609725"/>
                        </a:xfrm>
                        <a:prstGeom prst="roundRect">
                          <a:avLst>
                            <a:gd name="adj" fmla="val 1961"/>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p w14:paraId="255689CE" w14:textId="77777777" w:rsidR="006F38BE" w:rsidRDefault="006F38BE" w:rsidP="00F33C7A">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DCA1D" id="_x0000_s1031" style="position:absolute;margin-left:-35.65pt;margin-top:25.05pt;width:541.25pt;height:126.7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" fillcolor="#386641 [3204]" strokecolor="#386641 [3204]">
                <v:textbox inset="36pt,14.4pt,36pt,36pt">
                  <w:txbxContent>
                    <w:p w14:paraId="255689CE" w14:textId="77777777" w:rsidR="006F38BE" w:rsidRDefault="006F38BE" w:rsidP="00F33C7A">
                      <w:pPr>
                        <w:pStyle w:val="NoSpacing"/>
                        <w:rPr>
                          <w:caps/>
                          <w:color w:val="FFFFFF" w:themeColor="background1"/>
                        </w:rPr>
                      </w:pPr>
                    </w:p>
                  </w:txbxContent>
                </v:textbox>
              </v:roundrect>
            </w:pict>
          </mc:Fallback>
        </mc:AlternateContent>
      </w:r>
      <w:r w:rsidR="00FB59D8">
        <w:rPr>
          <w:noProof/>
        </w:rPr>
        <mc:AlternateContent>
          <mc:Choice Requires="wps">
            <w:drawing>
              <wp:anchor distT="0" distB="0" distL="114300" distR="114300" simplePos="0" relativeHeight="251658251" behindDoc="1" locked="0" layoutInCell="1" allowOverlap="1" wp14:anchorId="742EC39C" wp14:editId="5BCC40E2">
                <wp:simplePos x="0" y="0"/>
                <wp:positionH relativeFrom="column">
                  <wp:posOffset>-448945</wp:posOffset>
                </wp:positionH>
                <wp:positionV relativeFrom="paragraph">
                  <wp:posOffset>21019</wp:posOffset>
                </wp:positionV>
                <wp:extent cx="6877685" cy="142875"/>
                <wp:effectExtent l="0" t="0" r="18415" b="28575"/>
                <wp:wrapNone/>
                <wp:docPr id="222285391" name="Rectangle 120"/>
                <wp:cNvGraphicFramePr/>
                <a:graphic xmlns:a="http://schemas.openxmlformats.org/drawingml/2006/main">
                  <a:graphicData uri="http://schemas.microsoft.com/office/word/2010/wordprocessingShape">
                    <wps:wsp>
                      <wps:cNvSpPr/>
                      <wps:spPr>
                        <a:xfrm>
                          <a:off x="0" y="0"/>
                          <a:ext cx="6877685" cy="142875"/>
                        </a:xfrm>
                        <a:prstGeom prst="roundRect">
                          <a:avLst/>
                        </a:prstGeom>
                        <a:solidFill>
                          <a:schemeClr val="accent2"/>
                        </a:solidFill>
                        <a:ln>
                          <a:solidFill>
                            <a:schemeClr val="accent2"/>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120" style="position:absolute;margin-left:-35.35pt;margin-top:1.65pt;width:541.55pt;height:11.25pt;z-index:-2516582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994e [3205]" strokecolor="#6a994e [3205]" arcsize="10923f" w14:anchorId="109EC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"/>
            </w:pict>
          </mc:Fallback>
        </mc:AlternateContent>
      </w:r>
      <w:r w:rsidR="006F38BE">
        <w:br w:type="page"/>
      </w:r>
    </w:p>
    <w:p w14:paraId="4FDCBE5F" w14:textId="1E1FE45A" w:rsidR="006F38BE" w:rsidRDefault="006F38BE" w:rsidP="006F38BE">
      <w:pPr>
        <w:pStyle w:val="Heading1"/>
      </w:pPr>
      <w:bookmarkStart w:id="29" w:name="_Simplify_Eligibility_by"/>
      <w:bookmarkStart w:id="30" w:name="_Toc226982649"/>
      <w:bookmarkEnd w:id="29"/>
      <w:r w:rsidRPr="006F38BE">
        <w:t xml:space="preserve">Simplify Eligibility by Disregarding </w:t>
      </w:r>
      <w:r w:rsidR="003D5B60">
        <w:br/>
      </w:r>
      <w:r w:rsidRPr="006F38BE">
        <w:t>the Value of Non-Liquid Assets</w:t>
      </w:r>
      <w:bookmarkEnd w:id="30"/>
    </w:p>
    <w:tbl>
      <w:tblPr>
        <w:tblStyle w:val="MagentaTable1"/>
        <w:tblpPr w:leftFromText="180" w:rightFromText="180" w:vertAnchor="text" w:tblpY="1"/>
        <w:tblW w:w="5000" w:type="pct"/>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bottom w:w="72" w:type="dxa"/>
        </w:tblCellMar>
        <w:tblLook w:val="0480" w:firstRow="0" w:lastRow="0" w:firstColumn="1" w:lastColumn="0" w:noHBand="0" w:noVBand="1"/>
      </w:tblPr>
      <w:tblGrid>
        <w:gridCol w:w="2605"/>
        <w:gridCol w:w="6745"/>
      </w:tblGrid>
      <w:tr w:rsidR="00AC51FB" w:rsidRPr="000D0F03" w14:paraId="57060E5D" w14:textId="77777777" w:rsidTr="001E5636">
        <w:trPr>
          <w:cantSplit/>
          <w:trHeight w:val="1767"/>
        </w:trPr>
        <w:tc>
          <w:tcPr>
            <w:tcW w:w="1393" w:type="pct"/>
            <w:shd w:val="clear" w:color="auto" w:fill="414150" w:themeFill="text1"/>
            <w:vAlign w:val="center"/>
            <w:hideMark/>
          </w:tcPr>
          <w:p w14:paraId="13688F28" w14:textId="77777777" w:rsidR="00AC51FB" w:rsidRPr="001B4BD2" w:rsidRDefault="00AC51FB" w:rsidP="001E5636">
            <w:pPr>
              <w:rPr>
                <w:rFonts w:eastAsia="Calibri"/>
                <w:b/>
                <w:bCs/>
                <w:color w:val="FFFFFF" w:themeColor="background1"/>
                <w:sz w:val="20"/>
                <w:szCs w:val="20"/>
              </w:rPr>
            </w:pPr>
            <w:r w:rsidRPr="001B4BD2">
              <w:rPr>
                <w:rFonts w:eastAsia="Calibri"/>
                <w:b/>
                <w:bCs/>
                <w:color w:val="FFFFFF" w:themeColor="background1"/>
              </w:rPr>
              <w:t>Problem</w:t>
            </w:r>
          </w:p>
        </w:tc>
        <w:tc>
          <w:tcPr>
            <w:tcW w:w="3607" w:type="pct"/>
            <w:shd w:val="clear" w:color="auto" w:fill="F2F2F2" w:themeFill="background1" w:themeFillShade="F2"/>
            <w:vAlign w:val="center"/>
            <w:hideMark/>
          </w:tcPr>
          <w:p w14:paraId="2D48A59C" w14:textId="42382625" w:rsidR="00AC51FB" w:rsidRPr="000D0F03" w:rsidRDefault="00AC51FB" w:rsidP="001E5636">
            <w:r>
              <w:t>Proving the value of non-liquid assets—like extra land, farm equipment, or second vehicles—is challenging and time consuming, preventing or delaying Medicare Savings Program (MSP) enrollment, especially in rural areas. Verifying non-liquid assets is especially burdensome and costly for states</w:t>
            </w:r>
            <w:r w:rsidR="00A803FA">
              <w:t>.</w:t>
            </w:r>
          </w:p>
        </w:tc>
      </w:tr>
      <w:tr w:rsidR="00AC51FB" w:rsidRPr="000D0F03" w14:paraId="594D8E48" w14:textId="77777777" w:rsidTr="001E5636">
        <w:trPr>
          <w:cantSplit/>
          <w:trHeight w:val="309"/>
        </w:trPr>
        <w:tc>
          <w:tcPr>
            <w:tcW w:w="1393" w:type="pct"/>
            <w:shd w:val="clear" w:color="auto" w:fill="414150" w:themeFill="text1"/>
            <w:vAlign w:val="center"/>
          </w:tcPr>
          <w:p w14:paraId="1E61E492" w14:textId="77777777" w:rsidR="00AC51FB" w:rsidRPr="000D0F03" w:rsidRDefault="00AC51FB" w:rsidP="001E5636">
            <w:pPr>
              <w:rPr>
                <w:rFonts w:eastAsia="Calibri"/>
                <w:b/>
                <w:bCs/>
                <w:color w:val="FFFFFF" w:themeColor="background1"/>
                <w:sz w:val="20"/>
                <w:szCs w:val="20"/>
              </w:rPr>
            </w:pPr>
            <w:r w:rsidRPr="001B4BD2">
              <w:rPr>
                <w:rFonts w:eastAsia="Calibri"/>
                <w:b/>
                <w:bCs/>
                <w:color w:val="FFFFFF" w:themeColor="background1"/>
              </w:rPr>
              <w:t>Solution</w:t>
            </w:r>
          </w:p>
        </w:tc>
        <w:tc>
          <w:tcPr>
            <w:tcW w:w="3607" w:type="pct"/>
            <w:vAlign w:val="center"/>
          </w:tcPr>
          <w:p w14:paraId="2C8A8643" w14:textId="2F94072F" w:rsidR="00AC51FB" w:rsidRPr="000D0F03" w:rsidRDefault="00AC51FB" w:rsidP="001E5636">
            <w:r w:rsidRPr="00AC51FB">
              <w:t>Exclude non-liquid assets from the MSP asset test.</w:t>
            </w:r>
          </w:p>
        </w:tc>
      </w:tr>
      <w:tr w:rsidR="00AC51FB" w:rsidRPr="00AC51FB" w14:paraId="128D6911" w14:textId="77777777" w:rsidTr="001E5636">
        <w:trPr>
          <w:cantSplit/>
          <w:trHeight w:val="80"/>
        </w:trPr>
        <w:tc>
          <w:tcPr>
            <w:tcW w:w="1393" w:type="pct"/>
            <w:shd w:val="clear" w:color="auto" w:fill="414150" w:themeFill="text1"/>
            <w:vAlign w:val="center"/>
          </w:tcPr>
          <w:p w14:paraId="0F58471C" w14:textId="77777777" w:rsidR="00AC51FB" w:rsidRPr="001B4BD2" w:rsidRDefault="00AC51FB" w:rsidP="001E5636">
            <w:pPr>
              <w:rPr>
                <w:rFonts w:eastAsia="Calibri"/>
                <w:b/>
                <w:bCs/>
                <w:color w:val="FFFFFF" w:themeColor="background1"/>
              </w:rPr>
            </w:pPr>
            <w:r w:rsidRPr="001B4BD2">
              <w:rPr>
                <w:rFonts w:eastAsia="Calibri"/>
                <w:b/>
                <w:bCs/>
                <w:color w:val="FFFFFF" w:themeColor="background1"/>
              </w:rPr>
              <w:t>Benefits for older adults and people with disabilities</w:t>
            </w:r>
          </w:p>
        </w:tc>
        <w:tc>
          <w:tcPr>
            <w:tcW w:w="3607" w:type="pct"/>
            <w:shd w:val="clear" w:color="auto" w:fill="F2F2F2" w:themeFill="background1" w:themeFillShade="F2"/>
            <w:vAlign w:val="center"/>
          </w:tcPr>
          <w:p w14:paraId="1B7B407F" w14:textId="77777777" w:rsidR="00081411" w:rsidRPr="00081411" w:rsidRDefault="00081411" w:rsidP="001E5636">
            <w:pPr>
              <w:pStyle w:val="Bullets"/>
              <w:ind w:left="345"/>
            </w:pPr>
            <w:r w:rsidRPr="00081411">
              <w:t>Reduce burden, especially in rural areas.</w:t>
            </w:r>
          </w:p>
          <w:p w14:paraId="274EBBF5" w14:textId="62661829" w:rsidR="00AC51FB" w:rsidRPr="00AC51FB" w:rsidRDefault="00081411" w:rsidP="001E5636">
            <w:pPr>
              <w:pStyle w:val="Bullets"/>
              <w:ind w:left="345"/>
            </w:pPr>
            <w:r w:rsidRPr="00081411">
              <w:t>For impacted individuals, improve health care access and reduce financial strain and mortality.</w:t>
            </w:r>
          </w:p>
        </w:tc>
      </w:tr>
      <w:tr w:rsidR="00AC51FB" w:rsidRPr="000D0F03" w14:paraId="533A3D2D" w14:textId="77777777" w:rsidTr="001E5636">
        <w:trPr>
          <w:cantSplit/>
          <w:trHeight w:val="1425"/>
        </w:trPr>
        <w:tc>
          <w:tcPr>
            <w:tcW w:w="1393" w:type="pct"/>
            <w:shd w:val="clear" w:color="auto" w:fill="414150" w:themeFill="text1"/>
            <w:vAlign w:val="center"/>
          </w:tcPr>
          <w:p w14:paraId="56047A74" w14:textId="77777777" w:rsidR="00AC51FB" w:rsidRPr="001B4BD2" w:rsidRDefault="00AC51FB" w:rsidP="001E5636">
            <w:pPr>
              <w:rPr>
                <w:rFonts w:eastAsia="Calibri"/>
                <w:b/>
                <w:bCs/>
                <w:color w:val="FFFFFF" w:themeColor="background1"/>
              </w:rPr>
            </w:pPr>
            <w:r w:rsidRPr="00480172">
              <w:rPr>
                <w:rFonts w:eastAsia="Calibri"/>
                <w:b/>
                <w:bCs/>
                <w:color w:val="FFFFFF" w:themeColor="background1"/>
              </w:rPr>
              <w:t>Benefits for states</w:t>
            </w:r>
          </w:p>
        </w:tc>
        <w:tc>
          <w:tcPr>
            <w:tcW w:w="3607" w:type="pct"/>
            <w:vAlign w:val="center"/>
          </w:tcPr>
          <w:p w14:paraId="5CC3A44F" w14:textId="77777777" w:rsidR="00081411" w:rsidRDefault="00081411" w:rsidP="001E5636">
            <w:pPr>
              <w:pStyle w:val="Bullets"/>
              <w:ind w:left="345"/>
            </w:pPr>
            <w:r>
              <w:t>Reduce burden.</w:t>
            </w:r>
          </w:p>
          <w:p w14:paraId="12C622ED" w14:textId="77777777" w:rsidR="00081411" w:rsidRDefault="00081411" w:rsidP="001E5636">
            <w:pPr>
              <w:pStyle w:val="Bullets"/>
              <w:ind w:left="345"/>
            </w:pPr>
            <w:r>
              <w:t>Reduce administrative costs.</w:t>
            </w:r>
          </w:p>
          <w:p w14:paraId="6B7C5DE6" w14:textId="77777777" w:rsidR="00081411" w:rsidRDefault="00081411" w:rsidP="001E5636">
            <w:pPr>
              <w:pStyle w:val="Bullets"/>
              <w:ind w:left="345"/>
            </w:pPr>
            <w:r>
              <w:t>Increase automated (</w:t>
            </w:r>
            <w:r w:rsidRPr="009F3731">
              <w:rPr>
                <w:i/>
                <w:iCs/>
              </w:rPr>
              <w:t xml:space="preserve">ex </w:t>
            </w:r>
            <w:proofErr w:type="spellStart"/>
            <w:r w:rsidRPr="009F3731">
              <w:rPr>
                <w:i/>
                <w:iCs/>
              </w:rPr>
              <w:t>parte</w:t>
            </w:r>
            <w:proofErr w:type="spellEnd"/>
            <w:r>
              <w:t>) renewal rates.</w:t>
            </w:r>
          </w:p>
          <w:p w14:paraId="04DAA6B6" w14:textId="70C319D4" w:rsidR="00AC51FB" w:rsidRPr="000D0F03" w:rsidRDefault="00081411" w:rsidP="001E5636">
            <w:pPr>
              <w:pStyle w:val="Bullets"/>
              <w:ind w:left="345"/>
            </w:pPr>
            <w:r>
              <w:t>Lower error rates</w:t>
            </w:r>
            <w:r w:rsidR="00E50876">
              <w:t>.</w:t>
            </w:r>
          </w:p>
        </w:tc>
      </w:tr>
      <w:tr w:rsidR="00AC51FB" w:rsidRPr="000D0F03" w14:paraId="5617D588" w14:textId="77777777" w:rsidTr="001E5636">
        <w:trPr>
          <w:cantSplit/>
          <w:trHeight w:val="489"/>
        </w:trPr>
        <w:tc>
          <w:tcPr>
            <w:tcW w:w="1393" w:type="pct"/>
            <w:shd w:val="clear" w:color="auto" w:fill="414150" w:themeFill="text1"/>
            <w:vAlign w:val="center"/>
          </w:tcPr>
          <w:p w14:paraId="7C49D5DD" w14:textId="560ADBF3" w:rsidR="00AC51FB" w:rsidRPr="00480172" w:rsidRDefault="00AC51FB" w:rsidP="001E5636">
            <w:pPr>
              <w:rPr>
                <w:rFonts w:eastAsia="Calibri"/>
                <w:b/>
                <w:bCs/>
                <w:color w:val="FFFFFF" w:themeColor="background1"/>
              </w:rPr>
            </w:pPr>
            <w:r>
              <w:rPr>
                <w:rFonts w:eastAsia="Calibri"/>
                <w:b/>
                <w:bCs/>
                <w:color w:val="FFFFFF" w:themeColor="background1"/>
              </w:rPr>
              <w:t xml:space="preserve">State </w:t>
            </w:r>
            <w:r w:rsidR="00084AB2">
              <w:rPr>
                <w:rFonts w:eastAsia="Calibri"/>
                <w:b/>
                <w:bCs/>
                <w:color w:val="FFFFFF" w:themeColor="background1"/>
              </w:rPr>
              <w:t>c</w:t>
            </w:r>
            <w:r>
              <w:rPr>
                <w:rFonts w:eastAsia="Calibri"/>
                <w:b/>
                <w:bCs/>
                <w:color w:val="FFFFFF" w:themeColor="background1"/>
              </w:rPr>
              <w:t xml:space="preserve">ost </w:t>
            </w:r>
            <w:r w:rsidR="00D14DB5">
              <w:rPr>
                <w:rFonts w:eastAsia="Calibri"/>
                <w:b/>
                <w:bCs/>
                <w:color w:val="FFFFFF" w:themeColor="background1"/>
              </w:rPr>
              <w:t>i</w:t>
            </w:r>
            <w:r>
              <w:rPr>
                <w:rFonts w:eastAsia="Calibri"/>
                <w:b/>
                <w:bCs/>
                <w:color w:val="FFFFFF" w:themeColor="background1"/>
              </w:rPr>
              <w:t>mplications</w:t>
            </w:r>
          </w:p>
        </w:tc>
        <w:tc>
          <w:tcPr>
            <w:tcW w:w="3607" w:type="pct"/>
            <w:shd w:val="clear" w:color="auto" w:fill="F2F2F2" w:themeFill="background1" w:themeFillShade="F2"/>
            <w:vAlign w:val="center"/>
          </w:tcPr>
          <w:p w14:paraId="379E7C6B" w14:textId="75FA5E5C" w:rsidR="00AC51FB" w:rsidRPr="000D0F03" w:rsidRDefault="00081411" w:rsidP="001E5636">
            <w:r w:rsidRPr="00081411">
              <w:t>Minimal new Medicaid costs</w:t>
            </w:r>
            <w:r w:rsidR="00AC51FB">
              <w:t>.</w:t>
            </w:r>
          </w:p>
        </w:tc>
      </w:tr>
    </w:tbl>
    <w:p w14:paraId="2E6B426C" w14:textId="77777777" w:rsidR="006F38BE" w:rsidRDefault="006F38BE" w:rsidP="006F38BE">
      <w:pPr>
        <w:pStyle w:val="Heading2"/>
      </w:pPr>
      <w:bookmarkStart w:id="31" w:name="_Toc226982650"/>
      <w:r>
        <w:t>Summary</w:t>
      </w:r>
      <w:bookmarkEnd w:id="31"/>
    </w:p>
    <w:p w14:paraId="35843C8D" w14:textId="77777777" w:rsidR="006F38BE" w:rsidRDefault="006F38BE" w:rsidP="006F38BE">
      <w:r w:rsidRPr="4A798165">
        <w:t>The model state legislation below would</w:t>
      </w:r>
      <w:r w:rsidRPr="470F163D">
        <w:t xml:space="preserve"> </w:t>
      </w:r>
      <w:r>
        <w:t>simplify eligibility for the Medicare Savings Programs (MSPs) by disregarding</w:t>
      </w:r>
      <w:r w:rsidRPr="470F163D">
        <w:t xml:space="preserve"> the value of non-liquid </w:t>
      </w:r>
      <w:r>
        <w:t>asset</w:t>
      </w:r>
      <w:r w:rsidRPr="470F163D">
        <w:t>s</w:t>
      </w:r>
      <w:r>
        <w:rPr>
          <w:rStyle w:val="EndnoteReference"/>
          <w:rFonts w:ascii="Calibri" w:hAnsi="Calibri" w:cs="Calibri"/>
          <w:sz w:val="22"/>
          <w:szCs w:val="22"/>
        </w:rPr>
        <w:endnoteReference w:id="99"/>
      </w:r>
      <w:r w:rsidRPr="470F163D">
        <w:t>—such as farm equipment or land separate from an individual's primary residence—as permitted by section 1902(r)(2) of the Social Security Act</w:t>
      </w:r>
      <w:r>
        <w:t>.</w:t>
      </w:r>
      <w:r w:rsidRPr="470F163D">
        <w:t xml:space="preserve"> </w:t>
      </w:r>
    </w:p>
    <w:p w14:paraId="2EA5CFA6" w14:textId="77777777" w:rsidR="004C1084" w:rsidRDefault="006F38BE" w:rsidP="006F38BE">
      <w:r w:rsidRPr="002417E7">
        <w:t>Proving the value of non-liquid assets</w:t>
      </w:r>
      <w:r>
        <w:t xml:space="preserve"> </w:t>
      </w:r>
      <w:r w:rsidRPr="002417E7">
        <w:t>is challenging and time consuming</w:t>
      </w:r>
      <w:r>
        <w:t>. It</w:t>
      </w:r>
      <w:r w:rsidRPr="002417E7">
        <w:t xml:space="preserve"> prevent</w:t>
      </w:r>
      <w:r>
        <w:t>s</w:t>
      </w:r>
      <w:r w:rsidRPr="002417E7">
        <w:t xml:space="preserve"> or delay</w:t>
      </w:r>
      <w:r>
        <w:t>s</w:t>
      </w:r>
      <w:r w:rsidRPr="002417E7">
        <w:t xml:space="preserve"> MSP enrollment, especially in rural areas.</w:t>
      </w:r>
      <w:r>
        <w:t xml:space="preserve"> </w:t>
      </w:r>
    </w:p>
    <w:p w14:paraId="0AB64984" w14:textId="77777777" w:rsidR="004C1084" w:rsidRDefault="004C1084" w:rsidP="006F38BE"/>
    <w:p w14:paraId="3CC5C6E9" w14:textId="77777777" w:rsidR="004C1084" w:rsidRDefault="004C1084" w:rsidP="006F38BE"/>
    <w:p w14:paraId="56EE0BB1" w14:textId="155C6970" w:rsidR="00FB59D8" w:rsidRDefault="004C1084" w:rsidP="006F38BE">
      <w:r>
        <w:rPr>
          <w:noProof/>
        </w:rPr>
        <mc:AlternateContent>
          <mc:Choice Requires="wps">
            <w:drawing>
              <wp:anchor distT="0" distB="0" distL="114300" distR="114300" simplePos="0" relativeHeight="251658264" behindDoc="1" locked="0" layoutInCell="1" allowOverlap="1" wp14:anchorId="70B9B9F9" wp14:editId="4878B582">
                <wp:simplePos x="0" y="0"/>
                <wp:positionH relativeFrom="margin">
                  <wp:align>left</wp:align>
                </wp:positionH>
                <wp:positionV relativeFrom="paragraph">
                  <wp:posOffset>247650</wp:posOffset>
                </wp:positionV>
                <wp:extent cx="5930900" cy="1993900"/>
                <wp:effectExtent l="0" t="0" r="0" b="6350"/>
                <wp:wrapNone/>
                <wp:docPr id="1524858146" name="Rectangle: Rounded Corners 12"/>
                <wp:cNvGraphicFramePr/>
                <a:graphic xmlns:a="http://schemas.openxmlformats.org/drawingml/2006/main">
                  <a:graphicData uri="http://schemas.microsoft.com/office/word/2010/wordprocessingShape">
                    <wps:wsp>
                      <wps:cNvSpPr/>
                      <wps:spPr>
                        <a:xfrm>
                          <a:off x="0" y="0"/>
                          <a:ext cx="5930900" cy="19939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Rounded Corners 12" style="position:absolute;margin-left:0;margin-top:19.5pt;width:467pt;height:157pt;z-index:-251658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386641 [3204]" stroked="f" strokeweight="1pt" arcsize="10923f" w14:anchorId="2758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">
                <v:stroke joinstyle="miter"/>
                <w10:wrap anchorx="margin"/>
              </v:roundrect>
            </w:pict>
          </mc:Fallback>
        </mc:AlternateContent>
      </w:r>
      <w:r w:rsidR="006F38BE">
        <w:t>As a beneficiary counselor at a social services organization explains</w:t>
      </w:r>
      <w:r w:rsidR="00FB59D8">
        <w:t>:</w:t>
      </w:r>
      <w:r w:rsidRPr="004C1084">
        <w:rPr>
          <w:noProof/>
        </w:rPr>
        <w:t xml:space="preserve"> </w:t>
      </w:r>
    </w:p>
    <w:p w14:paraId="04E2170A" w14:textId="1815EDED" w:rsidR="00FB59D8" w:rsidRPr="008C74BC" w:rsidRDefault="006F38BE" w:rsidP="008C74BC">
      <w:pPr>
        <w:pStyle w:val="PullQuote"/>
        <w:spacing w:after="480"/>
        <w:rPr>
          <w:color w:val="FFFFFF" w:themeColor="background1"/>
        </w:rPr>
      </w:pPr>
      <w:r w:rsidRPr="008C74BC">
        <w:rPr>
          <w:color w:val="FFFFFF" w:themeColor="background1"/>
        </w:rPr>
        <w:t xml:space="preserve">“…Getting approved can be an issue, especially farm </w:t>
      </w:r>
      <w:r w:rsidR="004C1084" w:rsidRPr="008C74BC">
        <w:rPr>
          <w:color w:val="FFFFFF" w:themeColor="background1"/>
        </w:rPr>
        <w:br/>
      </w:r>
      <w:r w:rsidRPr="008C74BC">
        <w:rPr>
          <w:color w:val="FFFFFF" w:themeColor="background1"/>
        </w:rPr>
        <w:t xml:space="preserve">families, because you're looking at tens of thousands of </w:t>
      </w:r>
      <w:r w:rsidR="008C74BC" w:rsidRPr="008C74BC">
        <w:rPr>
          <w:color w:val="FFFFFF" w:themeColor="background1"/>
        </w:rPr>
        <w:br/>
      </w:r>
      <w:proofErr w:type="spellStart"/>
      <w:r w:rsidRPr="008C74BC">
        <w:rPr>
          <w:color w:val="FFFFFF" w:themeColor="background1"/>
        </w:rPr>
        <w:t>dollars worth</w:t>
      </w:r>
      <w:proofErr w:type="spellEnd"/>
      <w:r w:rsidRPr="008C74BC">
        <w:rPr>
          <w:color w:val="FFFFFF" w:themeColor="background1"/>
        </w:rPr>
        <w:t xml:space="preserve"> of equipment, which will make you ineligible, </w:t>
      </w:r>
      <w:r w:rsidR="008C74BC" w:rsidRPr="008C74BC">
        <w:rPr>
          <w:color w:val="FFFFFF" w:themeColor="background1"/>
        </w:rPr>
        <w:br/>
      </w:r>
      <w:r w:rsidRPr="008C74BC">
        <w:rPr>
          <w:color w:val="FFFFFF" w:themeColor="background1"/>
        </w:rPr>
        <w:t xml:space="preserve">that you no longer use that's sitting in the barn. Some of </w:t>
      </w:r>
      <w:r w:rsidR="00E91EE5">
        <w:rPr>
          <w:color w:val="FFFFFF" w:themeColor="background1"/>
        </w:rPr>
        <w:br/>
      </w:r>
      <w:r w:rsidRPr="008C74BC">
        <w:rPr>
          <w:color w:val="FFFFFF" w:themeColor="background1"/>
        </w:rPr>
        <w:t xml:space="preserve">these, a tractor will cost you more than a house, but it doesn't </w:t>
      </w:r>
      <w:r w:rsidR="00E91EE5">
        <w:rPr>
          <w:color w:val="FFFFFF" w:themeColor="background1"/>
        </w:rPr>
        <w:br/>
      </w:r>
      <w:r w:rsidRPr="008C74BC">
        <w:rPr>
          <w:color w:val="FFFFFF" w:themeColor="background1"/>
        </w:rPr>
        <w:t xml:space="preserve">do you any good when you're hungry, or you're cold, or you </w:t>
      </w:r>
      <w:r w:rsidR="00E91EE5">
        <w:rPr>
          <w:color w:val="FFFFFF" w:themeColor="background1"/>
        </w:rPr>
        <w:br/>
      </w:r>
      <w:r w:rsidRPr="008C74BC">
        <w:rPr>
          <w:color w:val="FFFFFF" w:themeColor="background1"/>
        </w:rPr>
        <w:t xml:space="preserve">need in-home care. That's a huge thing.... Yeah, you could </w:t>
      </w:r>
      <w:r w:rsidR="00E91EE5">
        <w:rPr>
          <w:color w:val="FFFFFF" w:themeColor="background1"/>
        </w:rPr>
        <w:br/>
      </w:r>
      <w:r w:rsidRPr="008C74BC">
        <w:rPr>
          <w:color w:val="FFFFFF" w:themeColor="background1"/>
        </w:rPr>
        <w:t xml:space="preserve">sell it, but you're not </w:t>
      </w:r>
      <w:proofErr w:type="spellStart"/>
      <w:r w:rsidRPr="008C74BC">
        <w:rPr>
          <w:color w:val="FFFFFF" w:themeColor="background1"/>
        </w:rPr>
        <w:t>gonna</w:t>
      </w:r>
      <w:proofErr w:type="spellEnd"/>
      <w:r w:rsidRPr="008C74BC">
        <w:rPr>
          <w:color w:val="FFFFFF" w:themeColor="background1"/>
        </w:rPr>
        <w:t xml:space="preserve"> get what it's worth…”</w:t>
      </w:r>
      <w:r w:rsidRPr="008C74BC">
        <w:rPr>
          <w:rStyle w:val="EndnoteReference"/>
          <w:rFonts w:ascii="Calibri" w:hAnsi="Calibri" w:cs="Calibri"/>
          <w:color w:val="FFFFFF" w:themeColor="background1"/>
          <w:sz w:val="22"/>
          <w:szCs w:val="22"/>
        </w:rPr>
        <w:endnoteReference w:id="100"/>
      </w:r>
      <w:r w:rsidRPr="008C74BC">
        <w:rPr>
          <w:color w:val="FFFFFF" w:themeColor="background1"/>
        </w:rPr>
        <w:t xml:space="preserve"> </w:t>
      </w:r>
    </w:p>
    <w:p w14:paraId="687E1CDD" w14:textId="054360B8" w:rsidR="006F38BE" w:rsidRDefault="006F38BE" w:rsidP="006F38BE">
      <w:r>
        <w:t>The policy would apply to three MSP eligibility categories: Qualified Medicare Beneficiary (QMB), Specified Low-Income Beneficiary (SLMB), and Qualifying Individuals (QI)</w:t>
      </w:r>
      <w:r w:rsidRPr="470F163D">
        <w:t>.</w:t>
      </w:r>
      <w:r>
        <w:rPr>
          <w:rStyle w:val="EndnoteReference"/>
          <w:rFonts w:ascii="Calibri" w:hAnsi="Calibri" w:cs="Calibri"/>
          <w:sz w:val="22"/>
          <w:szCs w:val="22"/>
        </w:rPr>
        <w:endnoteReference w:id="101"/>
      </w:r>
      <w:r w:rsidRPr="470F163D">
        <w:t xml:space="preserve"> </w:t>
      </w:r>
      <w:r w:rsidRPr="00C63459">
        <w:t>This model policy does not include Qualified Disabled Working Individuals (QDWI) because states cannot disregard assets for this category, unlike other MSP categories.</w:t>
      </w:r>
      <w:r>
        <w:rPr>
          <w:rStyle w:val="EndnoteReference"/>
          <w:rFonts w:ascii="Calibri" w:hAnsi="Calibri" w:cs="Calibri"/>
          <w:sz w:val="22"/>
          <w:szCs w:val="22"/>
        </w:rPr>
        <w:endnoteReference w:id="102"/>
      </w:r>
    </w:p>
    <w:p w14:paraId="3D3B76AE" w14:textId="77777777" w:rsidR="006F38BE" w:rsidRDefault="006F38BE" w:rsidP="006F38BE">
      <w:pPr>
        <w:rPr>
          <w:color w:val="000000"/>
        </w:rPr>
      </w:pPr>
      <w:r>
        <w:t>States must obtain federal approval for this policy, but the process is routine</w:t>
      </w:r>
      <w:r w:rsidRPr="0B05BACB">
        <w:t xml:space="preserve">. It just requires </w:t>
      </w:r>
      <w:r>
        <w:t>a standard amendment to their State Medicaid Plan.</w:t>
      </w:r>
    </w:p>
    <w:p w14:paraId="41BB42A5" w14:textId="77777777" w:rsidR="006F38BE" w:rsidRPr="00984EE8" w:rsidRDefault="006F38BE" w:rsidP="00984EE8">
      <w:pPr>
        <w:pStyle w:val="BlueEmphasis"/>
        <w:rPr>
          <w:rStyle w:val="Emphasis"/>
          <w:b/>
          <w:bCs w:val="0"/>
        </w:rPr>
      </w:pPr>
      <w:r w:rsidRPr="00984EE8">
        <w:rPr>
          <w:rStyle w:val="Emphasis"/>
          <w:b/>
          <w:bCs w:val="0"/>
        </w:rPr>
        <w:t xml:space="preserve">Where this model policy could apply: </w:t>
      </w:r>
    </w:p>
    <w:p w14:paraId="6EDD5002" w14:textId="5C3A7A4E" w:rsidR="00E67E3B" w:rsidRDefault="00E67E3B" w:rsidP="00E67E3B">
      <w:r w:rsidRPr="1DB60889">
        <w:t xml:space="preserve">As of this publication, </w:t>
      </w:r>
      <w:r>
        <w:t>we are not aware of states</w:t>
      </w:r>
      <w:r w:rsidRPr="1DB60889">
        <w:t xml:space="preserve"> with an asset test</w:t>
      </w:r>
      <w:r>
        <w:t xml:space="preserve"> that have specifically excluded all non-liquid assets</w:t>
      </w:r>
      <w:r w:rsidRPr="1DB60889">
        <w:t>.</w:t>
      </w:r>
      <w:r>
        <w:rPr>
          <w:rStyle w:val="EndnoteReference"/>
          <w:rFonts w:ascii="Calibri" w:hAnsi="Calibri" w:cs="Calibri"/>
          <w:sz w:val="22"/>
          <w:szCs w:val="22"/>
        </w:rPr>
        <w:endnoteReference w:id="103"/>
      </w:r>
      <w:r w:rsidRPr="1DB60889">
        <w:t xml:space="preserve"> </w:t>
      </w:r>
    </w:p>
    <w:p w14:paraId="52B4543D" w14:textId="14DD23D2" w:rsidR="001A730E" w:rsidRPr="00CA7623" w:rsidRDefault="001A730E" w:rsidP="001A730E">
      <w:pPr>
        <w:rPr>
          <w:rStyle w:val="Emphasis"/>
          <w:b w:val="0"/>
          <w:bCs w:val="0"/>
        </w:rPr>
      </w:pPr>
      <w:r>
        <w:rPr>
          <w:rStyle w:val="Emphasis"/>
          <w:b w:val="0"/>
          <w:bCs w:val="0"/>
        </w:rPr>
        <w:t>However, t</w:t>
      </w:r>
      <w:r w:rsidRPr="00CA7623">
        <w:rPr>
          <w:rStyle w:val="Emphasis"/>
          <w:b w:val="0"/>
          <w:bCs w:val="0"/>
        </w:rPr>
        <w:t xml:space="preserve">hirteen states and D.C. </w:t>
      </w:r>
      <w:r w:rsidRPr="001A730E">
        <w:rPr>
          <w:rStyle w:val="Emphasis"/>
          <w:b w:val="0"/>
          <w:bCs w:val="0"/>
        </w:rPr>
        <w:t>removed the asset limit for the MSPs entirely</w:t>
      </w:r>
      <w:r w:rsidRPr="00CA7623">
        <w:rPr>
          <w:rStyle w:val="Emphasis"/>
          <w:b w:val="0"/>
          <w:bCs w:val="0"/>
        </w:rPr>
        <w:t>.</w:t>
      </w:r>
      <w:r w:rsidRPr="00704C67">
        <w:rPr>
          <w:rStyle w:val="EndnoteChar"/>
          <w:vertAlign w:val="superscript"/>
        </w:rPr>
        <w:endnoteReference w:id="10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2748"/>
        <w:gridCol w:w="2748"/>
      </w:tblGrid>
      <w:tr w:rsidR="001A730E" w14:paraId="16B8E332" w14:textId="77777777" w:rsidTr="00462B21">
        <w:trPr>
          <w:trHeight w:val="2142"/>
        </w:trPr>
        <w:tc>
          <w:tcPr>
            <w:tcW w:w="2748" w:type="dxa"/>
          </w:tcPr>
          <w:p w14:paraId="6B108BE3" w14:textId="77777777" w:rsidR="001A730E" w:rsidRPr="001A730E" w:rsidRDefault="001A730E" w:rsidP="00462B21">
            <w:pPr>
              <w:pStyle w:val="Bullets"/>
              <w:rPr>
                <w:color w:val="04577C" w:themeColor="accent5"/>
                <w:sz w:val="24"/>
              </w:rPr>
            </w:pPr>
            <w:r w:rsidRPr="001A730E">
              <w:rPr>
                <w:sz w:val="24"/>
              </w:rPr>
              <w:t>Alabama</w:t>
            </w:r>
          </w:p>
          <w:p w14:paraId="74D37A99" w14:textId="77777777" w:rsidR="001A730E" w:rsidRPr="001A730E" w:rsidRDefault="001A730E" w:rsidP="00462B21">
            <w:pPr>
              <w:pStyle w:val="Bullets"/>
              <w:rPr>
                <w:rStyle w:val="Emphasis"/>
                <w:b w:val="0"/>
                <w:bCs w:val="0"/>
                <w:sz w:val="24"/>
              </w:rPr>
            </w:pPr>
            <w:r w:rsidRPr="001A730E">
              <w:rPr>
                <w:rStyle w:val="Emphasis"/>
                <w:b w:val="0"/>
                <w:bCs w:val="0"/>
                <w:sz w:val="24"/>
              </w:rPr>
              <w:t>Arizona</w:t>
            </w:r>
          </w:p>
          <w:p w14:paraId="70133897" w14:textId="77777777" w:rsidR="001A730E" w:rsidRPr="001A730E" w:rsidRDefault="001A730E" w:rsidP="00462B21">
            <w:pPr>
              <w:pStyle w:val="Bullets"/>
              <w:rPr>
                <w:rStyle w:val="Emphasis"/>
                <w:b w:val="0"/>
                <w:bCs w:val="0"/>
                <w:sz w:val="24"/>
              </w:rPr>
            </w:pPr>
            <w:r w:rsidRPr="001A730E">
              <w:rPr>
                <w:rStyle w:val="Emphasis"/>
                <w:b w:val="0"/>
                <w:bCs w:val="0"/>
                <w:sz w:val="24"/>
              </w:rPr>
              <w:t>Connecticut</w:t>
            </w:r>
          </w:p>
          <w:p w14:paraId="2C6EE02F" w14:textId="77777777" w:rsidR="001A730E" w:rsidRPr="001A730E" w:rsidRDefault="001A730E" w:rsidP="00462B21">
            <w:pPr>
              <w:pStyle w:val="Bullets"/>
              <w:rPr>
                <w:rStyle w:val="Emphasis"/>
                <w:b w:val="0"/>
                <w:bCs w:val="0"/>
                <w:sz w:val="24"/>
              </w:rPr>
            </w:pPr>
            <w:r w:rsidRPr="001A730E">
              <w:rPr>
                <w:rStyle w:val="Emphasis"/>
                <w:b w:val="0"/>
                <w:bCs w:val="0"/>
                <w:sz w:val="24"/>
              </w:rPr>
              <w:t>Delaware</w:t>
            </w:r>
          </w:p>
          <w:p w14:paraId="349B3122" w14:textId="77777777" w:rsidR="001A730E" w:rsidRPr="001A730E" w:rsidRDefault="001A730E" w:rsidP="00462B21">
            <w:pPr>
              <w:pStyle w:val="Bullets"/>
              <w:rPr>
                <w:rStyle w:val="Emphasis"/>
                <w:sz w:val="24"/>
              </w:rPr>
            </w:pPr>
            <w:r w:rsidRPr="001A730E">
              <w:rPr>
                <w:rStyle w:val="Emphasis"/>
                <w:b w:val="0"/>
                <w:bCs w:val="0"/>
                <w:sz w:val="24"/>
              </w:rPr>
              <w:t>District of Columbia</w:t>
            </w:r>
          </w:p>
        </w:tc>
        <w:tc>
          <w:tcPr>
            <w:tcW w:w="2748" w:type="dxa"/>
          </w:tcPr>
          <w:p w14:paraId="40B8B8D2" w14:textId="77777777" w:rsidR="001A730E" w:rsidRPr="001A730E" w:rsidRDefault="001A730E" w:rsidP="00462B21">
            <w:pPr>
              <w:pStyle w:val="Bullets"/>
              <w:rPr>
                <w:color w:val="04577C" w:themeColor="accent5"/>
                <w:sz w:val="24"/>
              </w:rPr>
            </w:pPr>
            <w:r w:rsidRPr="001A730E">
              <w:rPr>
                <w:sz w:val="24"/>
              </w:rPr>
              <w:t>Louisiana</w:t>
            </w:r>
          </w:p>
          <w:p w14:paraId="09973778" w14:textId="77777777" w:rsidR="001A730E" w:rsidRPr="001A730E" w:rsidRDefault="001A730E" w:rsidP="00462B21">
            <w:pPr>
              <w:pStyle w:val="Bullets"/>
              <w:rPr>
                <w:color w:val="04577C" w:themeColor="accent5"/>
                <w:sz w:val="24"/>
              </w:rPr>
            </w:pPr>
            <w:r w:rsidRPr="001A730E">
              <w:rPr>
                <w:sz w:val="24"/>
              </w:rPr>
              <w:t>Maine</w:t>
            </w:r>
          </w:p>
          <w:p w14:paraId="0937AEA5" w14:textId="77777777" w:rsidR="001A730E" w:rsidRPr="001A730E" w:rsidRDefault="001A730E" w:rsidP="00462B21">
            <w:pPr>
              <w:pStyle w:val="Bullets"/>
              <w:rPr>
                <w:color w:val="04577C" w:themeColor="accent5"/>
                <w:sz w:val="24"/>
              </w:rPr>
            </w:pPr>
            <w:r w:rsidRPr="001A730E">
              <w:rPr>
                <w:sz w:val="24"/>
              </w:rPr>
              <w:t>Massachusetts</w:t>
            </w:r>
          </w:p>
          <w:p w14:paraId="38339E53" w14:textId="77777777" w:rsidR="001A730E" w:rsidRPr="001A730E" w:rsidRDefault="001A730E" w:rsidP="00462B21">
            <w:pPr>
              <w:pStyle w:val="Bullets"/>
              <w:rPr>
                <w:color w:val="04577C" w:themeColor="accent5"/>
                <w:sz w:val="24"/>
              </w:rPr>
            </w:pPr>
            <w:r w:rsidRPr="001A730E">
              <w:rPr>
                <w:sz w:val="24"/>
              </w:rPr>
              <w:t>Mississippi</w:t>
            </w:r>
          </w:p>
          <w:p w14:paraId="2F4D9A57" w14:textId="77777777" w:rsidR="001A730E" w:rsidRPr="001A730E" w:rsidRDefault="001A730E" w:rsidP="00462B21">
            <w:pPr>
              <w:pStyle w:val="Bullets"/>
              <w:rPr>
                <w:rStyle w:val="Emphasis"/>
                <w:sz w:val="24"/>
              </w:rPr>
            </w:pPr>
            <w:r w:rsidRPr="001A730E">
              <w:rPr>
                <w:rStyle w:val="Emphasis"/>
                <w:b w:val="0"/>
                <w:bCs w:val="0"/>
                <w:sz w:val="24"/>
              </w:rPr>
              <w:t>New Mexico</w:t>
            </w:r>
          </w:p>
        </w:tc>
        <w:tc>
          <w:tcPr>
            <w:tcW w:w="2748" w:type="dxa"/>
          </w:tcPr>
          <w:p w14:paraId="4F26BA52" w14:textId="77777777" w:rsidR="001A730E" w:rsidRPr="001A730E" w:rsidRDefault="001A730E" w:rsidP="00462B21">
            <w:pPr>
              <w:pStyle w:val="Bullets"/>
              <w:rPr>
                <w:b/>
                <w:bCs/>
                <w:color w:val="04577C" w:themeColor="accent5"/>
                <w:sz w:val="24"/>
              </w:rPr>
            </w:pPr>
            <w:r w:rsidRPr="001A730E">
              <w:rPr>
                <w:sz w:val="24"/>
              </w:rPr>
              <w:t>New York</w:t>
            </w:r>
          </w:p>
          <w:p w14:paraId="1BC6B6E8" w14:textId="77777777" w:rsidR="001A730E" w:rsidRPr="001A730E" w:rsidRDefault="001A730E" w:rsidP="00462B21">
            <w:pPr>
              <w:pStyle w:val="Bullets"/>
              <w:rPr>
                <w:rStyle w:val="Emphasis"/>
                <w:sz w:val="24"/>
              </w:rPr>
            </w:pPr>
            <w:r w:rsidRPr="001A730E">
              <w:rPr>
                <w:rStyle w:val="Emphasis"/>
                <w:b w:val="0"/>
                <w:bCs w:val="0"/>
                <w:sz w:val="24"/>
              </w:rPr>
              <w:t>Oregon</w:t>
            </w:r>
          </w:p>
          <w:p w14:paraId="316390F6" w14:textId="77777777" w:rsidR="001A730E" w:rsidRPr="001A730E" w:rsidRDefault="001A730E" w:rsidP="00462B21">
            <w:pPr>
              <w:pStyle w:val="Bullets"/>
              <w:rPr>
                <w:rStyle w:val="Emphasis"/>
                <w:sz w:val="24"/>
              </w:rPr>
            </w:pPr>
            <w:r w:rsidRPr="001A730E">
              <w:rPr>
                <w:rStyle w:val="Emphasis"/>
                <w:b w:val="0"/>
                <w:bCs w:val="0"/>
                <w:sz w:val="24"/>
              </w:rPr>
              <w:t>Vermont</w:t>
            </w:r>
          </w:p>
          <w:p w14:paraId="53BD0D6D" w14:textId="77777777" w:rsidR="001A730E" w:rsidRPr="001A730E" w:rsidRDefault="001A730E" w:rsidP="00462B21">
            <w:pPr>
              <w:pStyle w:val="Bullets"/>
              <w:rPr>
                <w:rStyle w:val="Emphasis"/>
                <w:sz w:val="24"/>
              </w:rPr>
            </w:pPr>
            <w:r w:rsidRPr="001A730E">
              <w:rPr>
                <w:rStyle w:val="Emphasis"/>
                <w:b w:val="0"/>
                <w:bCs w:val="0"/>
                <w:sz w:val="24"/>
              </w:rPr>
              <w:t>Washington</w:t>
            </w:r>
          </w:p>
        </w:tc>
      </w:tr>
    </w:tbl>
    <w:p w14:paraId="4DF0AB69" w14:textId="77777777" w:rsidR="001A730E" w:rsidRPr="004B04EE" w:rsidRDefault="001A730E" w:rsidP="001A730E">
      <w:pPr>
        <w:rPr>
          <w:rFonts w:cs="Tahoma"/>
        </w:rPr>
      </w:pPr>
      <w:r w:rsidRPr="004B04EE">
        <w:rPr>
          <w:rFonts w:cs="Tahoma"/>
        </w:rPr>
        <w:t>As such, this specific option is only relevant in the remaining states.</w:t>
      </w:r>
      <w:r w:rsidRPr="004B04EE">
        <w:rPr>
          <w:rStyle w:val="EndnoteReference"/>
          <w:rFonts w:cs="Tahoma"/>
        </w:rPr>
        <w:t xml:space="preserve"> </w:t>
      </w:r>
    </w:p>
    <w:p w14:paraId="67D5A7E4" w14:textId="77777777" w:rsidR="007176D2" w:rsidRPr="00944B09" w:rsidRDefault="007176D2" w:rsidP="007176D2">
      <w:pPr>
        <w:rPr>
          <w:rFonts w:cs="Tahoma"/>
          <w:b/>
        </w:rPr>
      </w:pPr>
      <w:r w:rsidRPr="00944B09">
        <w:rPr>
          <w:rFonts w:cs="Tahoma"/>
          <w:b/>
        </w:rPr>
        <w:t xml:space="preserve">History for this </w:t>
      </w:r>
      <w:r w:rsidRPr="00944B09">
        <w:rPr>
          <w:rFonts w:cs="Tahoma"/>
          <w:b/>
          <w:bCs/>
        </w:rPr>
        <w:t>model policy:</w:t>
      </w:r>
      <w:r>
        <w:rPr>
          <w:rFonts w:cs="Tahoma"/>
          <w:b/>
          <w:bCs/>
        </w:rPr>
        <w:br/>
      </w:r>
      <w:r>
        <w:t>First published: 05/11/2026 (draft)</w:t>
      </w:r>
      <w:r>
        <w:rPr>
          <w:rFonts w:cs="Tahoma"/>
          <w:b/>
          <w:bCs/>
        </w:rPr>
        <w:br/>
      </w:r>
      <w:r>
        <w:t>Modified: N/A</w:t>
      </w:r>
    </w:p>
    <w:p w14:paraId="0F7FEDE0" w14:textId="77777777" w:rsidR="006F38BE" w:rsidRDefault="006F38BE">
      <w:pPr>
        <w:spacing w:after="160"/>
      </w:pPr>
      <w:r>
        <w:br w:type="page"/>
      </w:r>
    </w:p>
    <w:p w14:paraId="36B46842" w14:textId="1B52415F" w:rsidR="006F38BE" w:rsidRDefault="00915B95" w:rsidP="00915B95">
      <w:pPr>
        <w:pStyle w:val="Heading2"/>
      </w:pPr>
      <w:bookmarkStart w:id="32" w:name="_Toc226982651"/>
      <w:r>
        <w:t>Model Legislative Text</w:t>
      </w:r>
      <w:bookmarkEnd w:id="32"/>
    </w:p>
    <w:p w14:paraId="61E9C16A" w14:textId="77777777" w:rsidR="00915B95" w:rsidRDefault="00915B95" w:rsidP="00915B95">
      <w:pPr>
        <w:pStyle w:val="LegislativeText"/>
      </w:pPr>
      <w:r w:rsidRPr="28D6B40F">
        <w:t>WHEREAS the Medicare Savings Programs can save [state residents] thousands of dollars on health care expenses</w:t>
      </w:r>
      <w:r w:rsidRPr="000240A6">
        <w:t>.</w:t>
      </w:r>
    </w:p>
    <w:p w14:paraId="30DBBEEE" w14:textId="77777777" w:rsidR="00915B95" w:rsidRDefault="00915B95" w:rsidP="00915B95">
      <w:pPr>
        <w:pStyle w:val="LegislativeText"/>
      </w:pPr>
      <w:r w:rsidRPr="28D6B40F">
        <w:t>WHEREAS a substantial portion of eligible [state residents] have not yet enrolled in the Medicare Savings Programs</w:t>
      </w:r>
      <w:r w:rsidRPr="000240A6">
        <w:t>.</w:t>
      </w:r>
    </w:p>
    <w:p w14:paraId="05D163AC" w14:textId="77777777" w:rsidR="00915B95" w:rsidRDefault="00915B95" w:rsidP="00915B95">
      <w:pPr>
        <w:pStyle w:val="LegislativeText"/>
      </w:pPr>
      <w:r w:rsidRPr="28D6B40F">
        <w:t xml:space="preserve">WHEREAS complexity of application processes often </w:t>
      </w:r>
      <w:r w:rsidRPr="04F7842F">
        <w:t>impedes</w:t>
      </w:r>
      <w:r w:rsidRPr="28D6B40F">
        <w:t xml:space="preserve"> otherwise</w:t>
      </w:r>
      <w:r>
        <w:t xml:space="preserve"> </w:t>
      </w:r>
      <w:r w:rsidRPr="28D6B40F">
        <w:t>eligible individuals from accessing supports for which they are eligible</w:t>
      </w:r>
      <w:r w:rsidRPr="000240A6">
        <w:t>.</w:t>
      </w:r>
    </w:p>
    <w:p w14:paraId="3026FB7E" w14:textId="77777777" w:rsidR="00915B95" w:rsidRDefault="00915B95" w:rsidP="00915B95">
      <w:pPr>
        <w:pStyle w:val="LegislativeText"/>
      </w:pPr>
      <w:r w:rsidRPr="28D6B40F">
        <w:t>WHEREAS certain types of assets are particularly difficult to sell and require extensive work to document a fair market value</w:t>
      </w:r>
      <w:r w:rsidRPr="000240A6">
        <w:t>.</w:t>
      </w:r>
    </w:p>
    <w:p w14:paraId="0429B3CD" w14:textId="77777777" w:rsidR="00915B95" w:rsidRDefault="00915B95" w:rsidP="00915B95">
      <w:pPr>
        <w:pStyle w:val="LegislativeText"/>
      </w:pPr>
      <w:r w:rsidRPr="28D6B40F">
        <w:t xml:space="preserve">BE IT </w:t>
      </w:r>
      <w:r>
        <w:t>ENACTED</w:t>
      </w:r>
      <w:r w:rsidRPr="28D6B40F">
        <w:t xml:space="preserve"> that:</w:t>
      </w:r>
    </w:p>
    <w:p w14:paraId="05C0B155" w14:textId="77777777" w:rsidR="00915B95" w:rsidRPr="00D557AA" w:rsidRDefault="00915B95" w:rsidP="00915B95">
      <w:pPr>
        <w:pStyle w:val="LegislativeText"/>
      </w:pPr>
      <w:r w:rsidRPr="554533A2">
        <w:t>[Agency</w:t>
      </w:r>
      <w:r w:rsidRPr="28D6B40F">
        <w:t xml:space="preserve"> or agency head] shall seek approval from the Centers for Medicare &amp; Medicaid Services as necessary to simplify enrollment in the Medicare Savings Programs for [state residents] by disregarding the value of non-liquid </w:t>
      </w:r>
      <w:r>
        <w:t>asset</w:t>
      </w:r>
      <w:r w:rsidRPr="28D6B40F">
        <w:t>s as defined at 20 CFR 416.1201(c) for the Qualified Medicare Beneficiary, Specified Low-Income Beneficiary, and Qualifying Individuals eligibility groups</w:t>
      </w:r>
      <w:r>
        <w:t>, effective no later than [date]</w:t>
      </w:r>
      <w:r w:rsidRPr="28D6B40F">
        <w:t xml:space="preserve">. </w:t>
      </w:r>
    </w:p>
    <w:p w14:paraId="4C5FCE4A" w14:textId="77777777" w:rsidR="00915B95" w:rsidRPr="00D557AA" w:rsidRDefault="00915B95" w:rsidP="00915B95">
      <w:pPr>
        <w:pStyle w:val="LegislativeText"/>
      </w:pPr>
      <w:r w:rsidRPr="28D6B40F">
        <w:t>Upon approval by the Centers for Medicare &amp; Medicaid Services of the change, [agency or agency head] shall promptly update state regulation and operational guidance, as necessary to implement the change.</w:t>
      </w:r>
    </w:p>
    <w:p w14:paraId="1279C082" w14:textId="77777777" w:rsidR="00915B95" w:rsidRDefault="00915B95" w:rsidP="00915B95">
      <w:pPr>
        <w:pStyle w:val="LegislativeText"/>
      </w:pPr>
      <w:r w:rsidRPr="00D557AA">
        <w:t>Nothing in this [legislation] is intended to require state expenditures that would not be federally matched as part of the Medicaid program.</w:t>
      </w:r>
    </w:p>
    <w:p w14:paraId="63DAE39C" w14:textId="77777777" w:rsidR="00915B95" w:rsidRPr="00D557AA" w:rsidRDefault="00915B95" w:rsidP="00915B95">
      <w:pPr>
        <w:pStyle w:val="LegislativeText"/>
      </w:pPr>
      <w:r w:rsidRPr="00D557AA">
        <w:t>Upon approval by the Centers for Medicare &amp; Medicaid Services of the change, [agency or agency head] shall</w:t>
      </w:r>
      <w:r>
        <w:t xml:space="preserve"> promptly</w:t>
      </w:r>
      <w:r w:rsidRPr="00D557AA">
        <w:t>:</w:t>
      </w:r>
    </w:p>
    <w:p w14:paraId="5F5AD433" w14:textId="77777777" w:rsidR="00915B95" w:rsidRPr="00615EBD" w:rsidRDefault="00915B95" w:rsidP="00615EBD">
      <w:pPr>
        <w:pStyle w:val="Bullets"/>
        <w:rPr>
          <w:rFonts w:ascii="Times New Roman" w:hAnsi="Times New Roman" w:cs="Times New Roman"/>
        </w:rPr>
      </w:pPr>
      <w:r w:rsidRPr="00615EBD">
        <w:rPr>
          <w:rFonts w:ascii="Times New Roman" w:hAnsi="Times New Roman" w:cs="Times New Roman"/>
        </w:rPr>
        <w:t xml:space="preserve">Update state regulation, operational guidance, and eligibility and enrollment systems as necessary to implement the change, and </w:t>
      </w:r>
    </w:p>
    <w:p w14:paraId="3A8BA462" w14:textId="2076D561" w:rsidR="00915B95" w:rsidRPr="00615EBD" w:rsidRDefault="00915B95" w:rsidP="00615EBD">
      <w:pPr>
        <w:pStyle w:val="Bullets"/>
        <w:rPr>
          <w:rFonts w:ascii="Times New Roman" w:hAnsi="Times New Roman" w:cs="Times New Roman"/>
        </w:rPr>
      </w:pPr>
      <w:r w:rsidRPr="00615EBD">
        <w:rPr>
          <w:rFonts w:ascii="Times New Roman" w:hAnsi="Times New Roman" w:cs="Times New Roman"/>
        </w:rPr>
        <w:t xml:space="preserve">Revise notices, forms, and communications as needed to reflect that non-liquid assets do not count for Medicare Savings Program eligibility. </w:t>
      </w:r>
    </w:p>
    <w:p w14:paraId="09E49BD8" w14:textId="77777777" w:rsidR="00915B95" w:rsidRDefault="00915B95">
      <w:pPr>
        <w:spacing w:after="160"/>
        <w:rPr>
          <w:rFonts w:ascii="Times New Roman" w:hAnsi="Times New Roman" w:cs="Times New Roman"/>
        </w:rPr>
      </w:pPr>
      <w:r>
        <w:br w:type="page"/>
      </w:r>
    </w:p>
    <w:p w14:paraId="5C6D254A" w14:textId="2DF97CF6" w:rsidR="00915B95" w:rsidRPr="00915B95" w:rsidRDefault="00915B95" w:rsidP="00915B95">
      <w:pPr>
        <w:pStyle w:val="Heading2"/>
        <w:rPr>
          <w:rStyle w:val="Emphasis"/>
          <w:b/>
          <w:bCs w:val="0"/>
        </w:rPr>
      </w:pPr>
      <w:bookmarkStart w:id="33" w:name="_Toc226982652"/>
      <w:r w:rsidRPr="00915B95">
        <w:rPr>
          <w:rStyle w:val="Emphasis"/>
          <w:b/>
          <w:bCs w:val="0"/>
        </w:rPr>
        <w:t>Analysis</w:t>
      </w:r>
      <w:bookmarkEnd w:id="33"/>
    </w:p>
    <w:p w14:paraId="39A079AC" w14:textId="77777777" w:rsidR="006D7C32" w:rsidRDefault="006D7C32" w:rsidP="006D7C32">
      <w:pPr>
        <w:pStyle w:val="Heading3"/>
      </w:pPr>
      <w:r w:rsidRPr="470F163D">
        <w:t>Primary effects:</w:t>
      </w:r>
    </w:p>
    <w:p w14:paraId="1847E3FA" w14:textId="77777777" w:rsidR="006D7C32" w:rsidRPr="00153BD0" w:rsidRDefault="006D7C32" w:rsidP="006D7C32">
      <w:r w:rsidRPr="008178BA">
        <w:rPr>
          <w:rStyle w:val="Emphasis"/>
        </w:rPr>
        <w:t>Make the application process easier, especially for people in rural areas.</w:t>
      </w:r>
      <w:r w:rsidRPr="00153BD0">
        <w:rPr>
          <w:b/>
          <w:bCs/>
        </w:rPr>
        <w:t xml:space="preserve"> </w:t>
      </w:r>
      <w:r w:rsidRPr="00153BD0">
        <w:t>Determining and documenting the fair market value of non-liquid assets—such as real estate (other than the primary home), farm machinery, livestock, or second vehicles—is difficult and time-consuming for beneficiaries, especially for people without reliable internet or who lack comfort with technology and those with cognitive impairments or limited mobility. These challenges can discourage or prevent eligible individuals from successfully completing applications</w:t>
      </w:r>
      <w:r>
        <w:rPr>
          <w:rStyle w:val="EndnoteReference"/>
          <w:rFonts w:ascii="Calibri" w:hAnsi="Calibri" w:cs="Calibri"/>
          <w:sz w:val="22"/>
          <w:szCs w:val="22"/>
        </w:rPr>
        <w:endnoteReference w:id="105"/>
      </w:r>
      <w:r w:rsidRPr="00153BD0">
        <w:t xml:space="preserve"> and may be most prevalent in rural areas where households are more likely to own non-liquid assets.</w:t>
      </w:r>
      <w:r>
        <w:rPr>
          <w:rStyle w:val="EndnoteReference"/>
          <w:rFonts w:ascii="Calibri" w:hAnsi="Calibri" w:cs="Calibri"/>
          <w:sz w:val="22"/>
          <w:szCs w:val="22"/>
        </w:rPr>
        <w:endnoteReference w:id="106"/>
      </w:r>
      <w:r w:rsidRPr="00153BD0">
        <w:t xml:space="preserve"> This option would ease enrollment barriers by eliminating time and paperwork for income-eligible older adults and people with disabilities.</w:t>
      </w:r>
      <w:r w:rsidRPr="2EC0A5E5">
        <w:rPr>
          <w:rStyle w:val="EndnoteReference"/>
          <w:rFonts w:ascii="Calibri" w:hAnsi="Calibri" w:cs="Calibri"/>
          <w:sz w:val="22"/>
          <w:szCs w:val="22"/>
        </w:rPr>
        <w:endnoteReference w:id="107"/>
      </w:r>
    </w:p>
    <w:p w14:paraId="7210CA30" w14:textId="77777777" w:rsidR="006D7C32" w:rsidRPr="00153BD0" w:rsidRDefault="006D7C32" w:rsidP="006D7C32">
      <w:pPr>
        <w:rPr>
          <w:b/>
        </w:rPr>
      </w:pPr>
      <w:r w:rsidRPr="008178BA">
        <w:rPr>
          <w:rStyle w:val="Emphasis"/>
        </w:rPr>
        <w:t>Reduce administrative burden and costs for states.</w:t>
      </w:r>
      <w:r w:rsidRPr="00153BD0">
        <w:rPr>
          <w:b/>
          <w:bCs/>
        </w:rPr>
        <w:t xml:space="preserve"> </w:t>
      </w:r>
      <w:r w:rsidRPr="00153BD0">
        <w:t>Eligibility workers often spend significant time verifying and valuing non-liquid assets because asset verification systems frequently lack up-to-date or detailed information—such as item condition or equity—leading to discrepancies with applicant reports and additional requests for information. Disregarding the value of these assets would help to streamline initial state eligibility decisions and support automated annual renewals (“</w:t>
      </w:r>
      <w:r w:rsidRPr="00153BD0">
        <w:rPr>
          <w:i/>
          <w:iCs/>
        </w:rPr>
        <w:t xml:space="preserve">ex </w:t>
      </w:r>
      <w:proofErr w:type="spellStart"/>
      <w:r w:rsidRPr="00153BD0">
        <w:rPr>
          <w:i/>
          <w:iCs/>
        </w:rPr>
        <w:t>parte</w:t>
      </w:r>
      <w:proofErr w:type="spellEnd"/>
      <w:r w:rsidRPr="00153BD0">
        <w:t xml:space="preserve"> renewals”), ultimately reducing administrative time and costs.</w:t>
      </w:r>
      <w:r w:rsidRPr="2EC0A5E5">
        <w:rPr>
          <w:rStyle w:val="EndnoteReference"/>
          <w:rFonts w:ascii="Calibri" w:hAnsi="Calibri" w:cs="Calibri"/>
          <w:sz w:val="22"/>
          <w:szCs w:val="22"/>
        </w:rPr>
        <w:endnoteReference w:id="108"/>
      </w:r>
    </w:p>
    <w:p w14:paraId="1945E105" w14:textId="77777777" w:rsidR="006D7C32" w:rsidRDefault="006D7C32" w:rsidP="006D7C32">
      <w:pPr>
        <w:pStyle w:val="Heading3"/>
      </w:pPr>
      <w:r w:rsidRPr="27D463B5">
        <w:t xml:space="preserve">Other marginal effects: </w:t>
      </w:r>
    </w:p>
    <w:p w14:paraId="3E158740" w14:textId="77777777" w:rsidR="006D7C32" w:rsidRPr="00153BD0" w:rsidRDefault="006D7C32" w:rsidP="006D7C32">
      <w:r w:rsidRPr="008178BA">
        <w:rPr>
          <w:rStyle w:val="Emphasis"/>
        </w:rPr>
        <w:t>Help more eligible people get and keep benefits, especially those in rural areas.</w:t>
      </w:r>
      <w:r w:rsidRPr="00153BD0">
        <w:t xml:space="preserve"> Disregarding non-liquid assets would allow more people, especially in rural areas, to enroll in and keep MSP benefits, including those previously ineligible or unable to document asset values. </w:t>
      </w:r>
    </w:p>
    <w:p w14:paraId="25751A2C" w14:textId="77777777" w:rsidR="006D7C32" w:rsidRPr="00153BD0" w:rsidRDefault="006D7C32" w:rsidP="006D7C32">
      <w:r w:rsidRPr="008178BA">
        <w:rPr>
          <w:rStyle w:val="Emphasis"/>
        </w:rPr>
        <w:t>Better align the Medicare subsidy programs.</w:t>
      </w:r>
      <w:r w:rsidRPr="00153BD0">
        <w:rPr>
          <w:b/>
          <w:bCs/>
        </w:rPr>
        <w:t xml:space="preserve"> </w:t>
      </w:r>
      <w:r w:rsidRPr="00153BD0">
        <w:t xml:space="preserve">This change would better align MSP asset rules with Part D Extra Help, which already </w:t>
      </w:r>
      <w:r w:rsidRPr="00153BD0">
        <w:rPr>
          <w:bCs/>
        </w:rPr>
        <w:t>excludes the value of certain non-liquid assets.</w:t>
      </w:r>
      <w:r>
        <w:rPr>
          <w:rStyle w:val="EndnoteReference"/>
          <w:rFonts w:ascii="Calibri" w:hAnsi="Calibri" w:cs="Calibri"/>
          <w:sz w:val="22"/>
          <w:szCs w:val="22"/>
        </w:rPr>
        <w:endnoteReference w:id="109"/>
      </w:r>
      <w:r w:rsidRPr="00153BD0">
        <w:rPr>
          <w:bCs/>
        </w:rPr>
        <w:t xml:space="preserve"> </w:t>
      </w:r>
      <w:r w:rsidRPr="00153BD0">
        <w:t>If other eligibility policies were similarly aligned, states could better use Part D application data for Medicare Savings Program applications, thus reducing paperwork burdens for applicants, their families, and state eligibility workers.</w:t>
      </w:r>
    </w:p>
    <w:p w14:paraId="16319252" w14:textId="77777777" w:rsidR="006D7C32" w:rsidRPr="00153BD0" w:rsidRDefault="006D7C32" w:rsidP="006D7C32">
      <w:pPr>
        <w:rPr>
          <w:rStyle w:val="EndnoteReference"/>
          <w:rFonts w:ascii="Calibri" w:hAnsi="Calibri" w:cs="Calibri"/>
          <w:sz w:val="22"/>
          <w:szCs w:val="22"/>
        </w:rPr>
      </w:pPr>
      <w:r w:rsidRPr="008178BA">
        <w:rPr>
          <w:rStyle w:val="Emphasis"/>
        </w:rPr>
        <w:t>Slightly increase benefit costs for states.</w:t>
      </w:r>
      <w:r w:rsidRPr="00153BD0">
        <w:rPr>
          <w:b/>
          <w:bCs/>
        </w:rPr>
        <w:t xml:space="preserve"> </w:t>
      </w:r>
      <w:r w:rsidRPr="00153BD0">
        <w:t>This policy would minimally increase state outlays for Medicare Part A and B premiums and cost sharing.</w:t>
      </w:r>
      <w:r w:rsidRPr="00A803FA">
        <w:rPr>
          <w:rStyle w:val="EndnoteChar"/>
          <w:rFonts w:ascii="Calibri" w:hAnsi="Calibri" w:cs="Calibri"/>
          <w:sz w:val="22"/>
          <w:szCs w:val="22"/>
          <w:vertAlign w:val="superscript"/>
        </w:rPr>
        <w:endnoteReference w:id="110"/>
      </w:r>
      <w:r w:rsidRPr="00A803FA">
        <w:rPr>
          <w:rFonts w:ascii="Calibri" w:hAnsi="Calibri" w:cs="Calibri"/>
          <w:sz w:val="22"/>
          <w:szCs w:val="22"/>
        </w:rPr>
        <w:t xml:space="preserve"> </w:t>
      </w:r>
      <w:r w:rsidRPr="00153BD0">
        <w:t xml:space="preserve">At least half of the new costs would be federally funded </w:t>
      </w:r>
      <w:r w:rsidRPr="005C7910">
        <w:t>at the state’s standard Federal Matching Assistance Percentage rate</w:t>
      </w:r>
      <w:r w:rsidRPr="00153BD0">
        <w:t xml:space="preserve">. </w:t>
      </w:r>
    </w:p>
    <w:p w14:paraId="5958519E" w14:textId="2AC12978" w:rsidR="00241C1C" w:rsidRDefault="00241C1C" w:rsidP="006D7C32">
      <w:r w:rsidRPr="00D15A13">
        <w:rPr>
          <w:noProof/>
          <w:color w:val="FFFFFF" w:themeColor="background1"/>
        </w:rPr>
        <mc:AlternateContent>
          <mc:Choice Requires="wps">
            <w:drawing>
              <wp:anchor distT="0" distB="0" distL="114300" distR="114300" simplePos="0" relativeHeight="251658266" behindDoc="1" locked="0" layoutInCell="1" allowOverlap="1" wp14:anchorId="1008D510" wp14:editId="1FFA40F7">
                <wp:simplePos x="0" y="0"/>
                <wp:positionH relativeFrom="margin">
                  <wp:posOffset>-107950</wp:posOffset>
                </wp:positionH>
                <wp:positionV relativeFrom="paragraph">
                  <wp:posOffset>1085850</wp:posOffset>
                </wp:positionV>
                <wp:extent cx="6013450" cy="1358900"/>
                <wp:effectExtent l="0" t="0" r="6350" b="0"/>
                <wp:wrapNone/>
                <wp:docPr id="1214531279" name="Rectangle: Rounded Corners 12"/>
                <wp:cNvGraphicFramePr/>
                <a:graphic xmlns:a="http://schemas.openxmlformats.org/drawingml/2006/main">
                  <a:graphicData uri="http://schemas.microsoft.com/office/word/2010/wordprocessingShape">
                    <wps:wsp>
                      <wps:cNvSpPr/>
                      <wps:spPr>
                        <a:xfrm flipV="1">
                          <a:off x="0" y="0"/>
                          <a:ext cx="6013450" cy="13589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oundrect id="Rectangle: Rounded Corners 12" style="position:absolute;margin-left:-8.5pt;margin-top:85.5pt;width:473.5pt;height:107pt;flip:y;z-index:-251654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386641 [3204]" stroked="f" strokeweight="1pt" arcsize="10923f" w14:anchorId="2D23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">
                <v:stroke joinstyle="miter"/>
                <w10:wrap anchorx="margin"/>
              </v:roundrect>
            </w:pict>
          </mc:Fallback>
        </mc:AlternateContent>
      </w:r>
      <w:r w:rsidR="006D7C32" w:rsidRPr="008178BA">
        <w:rPr>
          <w:rStyle w:val="Emphasis"/>
        </w:rPr>
        <w:t>Improve access to treatment and save lives</w:t>
      </w:r>
      <w:r w:rsidR="006D7C32" w:rsidRPr="00153BD0">
        <w:rPr>
          <w:b/>
          <w:bCs/>
        </w:rPr>
        <w:t>.</w:t>
      </w:r>
      <w:r w:rsidR="006D7C32" w:rsidRPr="000240A6">
        <w:rPr>
          <w:rStyle w:val="EndnoteReference"/>
          <w:rFonts w:ascii="Calibri" w:hAnsi="Calibri" w:cs="Calibri"/>
          <w:sz w:val="22"/>
          <w:szCs w:val="22"/>
        </w:rPr>
        <w:endnoteReference w:id="111"/>
      </w:r>
      <w:r w:rsidR="006D7C32" w:rsidRPr="00153BD0">
        <w:rPr>
          <w:b/>
          <w:bCs/>
        </w:rPr>
        <w:t xml:space="preserve"> </w:t>
      </w:r>
      <w:r w:rsidR="006D7C32" w:rsidRPr="00153BD0">
        <w:t>MSPs enable low-income Medicare beneficiaries to start treatment sooner.</w:t>
      </w:r>
      <w:r w:rsidR="006D7C32" w:rsidRPr="000240A6">
        <w:rPr>
          <w:rStyle w:val="EndnoteReference"/>
          <w:rFonts w:ascii="Calibri" w:hAnsi="Calibri" w:cs="Calibri"/>
          <w:sz w:val="22"/>
          <w:szCs w:val="22"/>
        </w:rPr>
        <w:endnoteReference w:id="112"/>
      </w:r>
      <w:r w:rsidR="006D7C32" w:rsidRPr="00153BD0">
        <w:t xml:space="preserve"> New research links the loss of Medicaid coverage and, with it, Part D Extra Help </w:t>
      </w:r>
      <w:r w:rsidR="006306C1">
        <w:t xml:space="preserve">to </w:t>
      </w:r>
      <w:r w:rsidR="006D7C32" w:rsidRPr="00153BD0">
        <w:t>higher death rates among low-income Medicare beneficiaries.</w:t>
      </w:r>
      <w:r w:rsidR="006D7C32" w:rsidRPr="008178BA">
        <w:rPr>
          <w:rStyle w:val="EndnoteReference"/>
          <w:rFonts w:ascii="Calibri" w:hAnsi="Calibri" w:cs="Calibri"/>
          <w:sz w:val="22"/>
          <w:szCs w:val="22"/>
        </w:rPr>
        <w:endnoteReference w:id="113"/>
      </w:r>
      <w:r w:rsidR="006D7C32" w:rsidRPr="008178BA">
        <w:t xml:space="preserve"> </w:t>
      </w:r>
      <w:r w:rsidR="006D7C32" w:rsidRPr="00153BD0">
        <w:t>The evidence suggests, therefore, that simplifying access to the MSPs would save lives.</w:t>
      </w:r>
      <w:r w:rsidR="00D15A13">
        <w:t xml:space="preserve"> </w:t>
      </w:r>
      <w:r w:rsidR="00D15A13" w:rsidRPr="00D15A13">
        <w:t>As one daughter caring for her father attested,</w:t>
      </w:r>
    </w:p>
    <w:p w14:paraId="1D1DE57D" w14:textId="6E77F6DC" w:rsidR="006D7C32" w:rsidRPr="00D15A13" w:rsidRDefault="00146026" w:rsidP="00F06C13">
      <w:pPr>
        <w:jc w:val="center"/>
        <w:rPr>
          <w:b/>
          <w:bCs/>
          <w:color w:val="FFFFFF" w:themeColor="background1"/>
        </w:rPr>
      </w:pPr>
      <w:r w:rsidRPr="00D15A13">
        <w:rPr>
          <w:b/>
          <w:bCs/>
          <w:color w:val="FFFFFF" w:themeColor="background1"/>
        </w:rPr>
        <w:t xml:space="preserve">“My dad, he's worked hard </w:t>
      </w:r>
      <w:proofErr w:type="gramStart"/>
      <w:r w:rsidRPr="00D15A13">
        <w:rPr>
          <w:b/>
          <w:bCs/>
          <w:color w:val="FFFFFF" w:themeColor="background1"/>
        </w:rPr>
        <w:t>all of</w:t>
      </w:r>
      <w:proofErr w:type="gramEnd"/>
      <w:r w:rsidRPr="00D15A13">
        <w:rPr>
          <w:b/>
          <w:bCs/>
          <w:color w:val="FFFFFF" w:themeColor="background1"/>
        </w:rPr>
        <w:t xml:space="preserve"> his life. There's a lot of farmers out there that, when it comes to retirement, they don't end up with a whole lot. There's not just him out there. I know a lot of '</w:t>
      </w:r>
      <w:proofErr w:type="spellStart"/>
      <w:r w:rsidRPr="00D15A13">
        <w:rPr>
          <w:b/>
          <w:bCs/>
          <w:color w:val="FFFFFF" w:themeColor="background1"/>
        </w:rPr>
        <w:t>em</w:t>
      </w:r>
      <w:proofErr w:type="spellEnd"/>
      <w:r w:rsidRPr="00D15A13">
        <w:rPr>
          <w:b/>
          <w:bCs/>
          <w:color w:val="FFFFFF" w:themeColor="background1"/>
        </w:rPr>
        <w:t xml:space="preserve">, elderly people that </w:t>
      </w:r>
      <w:r w:rsidR="007C656D">
        <w:rPr>
          <w:b/>
          <w:bCs/>
          <w:color w:val="FFFFFF" w:themeColor="background1"/>
        </w:rPr>
        <w:br/>
      </w:r>
      <w:r w:rsidRPr="00D15A13">
        <w:rPr>
          <w:b/>
          <w:bCs/>
          <w:color w:val="FFFFFF" w:themeColor="background1"/>
        </w:rPr>
        <w:t xml:space="preserve">are just barely getting by. If it wasn't for the Medicaid or the Medicare, </w:t>
      </w:r>
      <w:r w:rsidR="007C656D">
        <w:rPr>
          <w:b/>
          <w:bCs/>
          <w:color w:val="FFFFFF" w:themeColor="background1"/>
        </w:rPr>
        <w:br/>
      </w:r>
      <w:r w:rsidRPr="00D15A13">
        <w:rPr>
          <w:b/>
          <w:bCs/>
          <w:color w:val="FFFFFF" w:themeColor="background1"/>
        </w:rPr>
        <w:t xml:space="preserve">they would; they would totally be homeless or they would just die </w:t>
      </w:r>
      <w:r w:rsidR="007C656D">
        <w:rPr>
          <w:b/>
          <w:bCs/>
          <w:color w:val="FFFFFF" w:themeColor="background1"/>
        </w:rPr>
        <w:br/>
      </w:r>
      <w:r w:rsidRPr="00D15A13">
        <w:rPr>
          <w:b/>
          <w:bCs/>
          <w:color w:val="FFFFFF" w:themeColor="background1"/>
        </w:rPr>
        <w:t>because they wouldn't have the money for medication.”</w:t>
      </w:r>
      <w:r w:rsidRPr="00D15A13">
        <w:rPr>
          <w:b/>
          <w:bCs/>
          <w:color w:val="FFFFFF" w:themeColor="background1"/>
          <w:vertAlign w:val="superscript"/>
        </w:rPr>
        <w:endnoteReference w:id="114"/>
      </w:r>
    </w:p>
    <w:p w14:paraId="6BF89C4B" w14:textId="77777777" w:rsidR="006D7C32" w:rsidRPr="00153BD0" w:rsidRDefault="006D7C32" w:rsidP="007C656D">
      <w:pPr>
        <w:spacing w:before="360"/>
      </w:pPr>
      <w:r w:rsidRPr="008178BA">
        <w:rPr>
          <w:rStyle w:val="Emphasis"/>
        </w:rPr>
        <w:t xml:space="preserve">Reduce financial strain and support independence. </w:t>
      </w:r>
      <w:r w:rsidRPr="00153BD0">
        <w:t>Expanding access to MSPs can improve the economic security and independence of older adults and people with disabilities with limited incomes. The Medicare Part B premium ($202.90/month in 2026) is usually withheld from Social Security checks, taking more than 15% of the monthly income of an individual living at or below the federal poverty level.</w:t>
      </w:r>
      <w:r>
        <w:rPr>
          <w:rStyle w:val="EndnoteReference"/>
          <w:rFonts w:ascii="Calibri" w:hAnsi="Calibri" w:cs="Calibri"/>
          <w:sz w:val="22"/>
          <w:szCs w:val="22"/>
        </w:rPr>
        <w:endnoteReference w:id="115"/>
      </w:r>
      <w:r w:rsidRPr="00153BD0">
        <w:t xml:space="preserve"> Enrolling in an MSP stops this deduction, enabling individuals to keep more of their income for food, rent, utilities, and other necessities.</w:t>
      </w:r>
      <w:r w:rsidRPr="008178BA">
        <w:rPr>
          <w:rStyle w:val="EndnoteReference"/>
          <w:rFonts w:ascii="Calibri" w:hAnsi="Calibri" w:cs="Calibri"/>
          <w:sz w:val="22"/>
          <w:szCs w:val="22"/>
        </w:rPr>
        <w:endnoteReference w:id="116"/>
      </w:r>
    </w:p>
    <w:p w14:paraId="4CC763AE" w14:textId="41899040" w:rsidR="006D7C32" w:rsidRDefault="006D7C32" w:rsidP="006D7C32">
      <w:r w:rsidRPr="008178BA">
        <w:rPr>
          <w:rStyle w:val="Emphasis"/>
        </w:rPr>
        <w:t>Require short-term state administrative costs.</w:t>
      </w:r>
      <w:r w:rsidRPr="00153BD0">
        <w:rPr>
          <w:b/>
        </w:rPr>
        <w:t xml:space="preserve"> </w:t>
      </w:r>
      <w:r w:rsidRPr="00153BD0">
        <w:t>The change would likely require short-term policy and operational investments to update eligibility systems, amend the State Medicaid Plan, and update manuals and related rules and guidance.</w:t>
      </w:r>
    </w:p>
    <w:p w14:paraId="3A9FAA56" w14:textId="11935528" w:rsidR="006D7C32" w:rsidRDefault="006D7C32" w:rsidP="006D7C32">
      <w:pPr>
        <w:pStyle w:val="Heading2"/>
      </w:pPr>
      <w:bookmarkStart w:id="34" w:name="_Toc226982653"/>
      <w:r>
        <w:t>Questions and Answers</w:t>
      </w:r>
      <w:bookmarkEnd w:id="34"/>
    </w:p>
    <w:p w14:paraId="3CF00ED8" w14:textId="77777777" w:rsidR="006D7C32" w:rsidRPr="003A4261" w:rsidRDefault="006D7C32" w:rsidP="006D7C32">
      <w:r w:rsidRPr="00E86F8E">
        <w:rPr>
          <w:rStyle w:val="BlueEmphasisChar"/>
        </w:rPr>
        <w:t>This seems so technical. How is valuation of real estate particularly complicated, and how does this actually affect the people we serve?</w:t>
      </w:r>
      <w:r w:rsidRPr="003A4261">
        <w:t xml:space="preserve"> In certain cases, selling</w:t>
      </w:r>
      <w:r w:rsidRPr="003A4261" w:rsidDel="004B262D">
        <w:t xml:space="preserve"> </w:t>
      </w:r>
      <w:r w:rsidRPr="003A4261">
        <w:t>real estate is not an option:</w:t>
      </w:r>
      <w:r w:rsidRPr="41C4E0B4">
        <w:rPr>
          <w:rStyle w:val="EndnoteReference"/>
          <w:rFonts w:ascii="Calibri" w:hAnsi="Calibri" w:cs="Calibri"/>
          <w:sz w:val="22"/>
          <w:szCs w:val="22"/>
        </w:rPr>
        <w:endnoteReference w:id="117"/>
      </w:r>
      <w:r w:rsidRPr="003A4261">
        <w:t xml:space="preserve"> for example, if an ex-spouse refuses to cooperate with the sale of a co-owned cottage, if an individual inherited their parent’s home with four siblings and sale requires unanimous agreement, or a remote plot of land lacks interested buyers. States count the equity value of property and may exclude real estate considered unavailable. However, unless individuals provide proof—such as the amount still owed on a mortgage, an alternate appraisal, or evidence of attempts to sell—the state will count the asset’s fair market value by default.</w:t>
      </w:r>
      <w:r w:rsidRPr="41C4E0B4">
        <w:rPr>
          <w:rStyle w:val="EndnoteReference"/>
          <w:rFonts w:ascii="Calibri" w:hAnsi="Calibri" w:cs="Calibri"/>
          <w:sz w:val="22"/>
          <w:szCs w:val="22"/>
        </w:rPr>
        <w:endnoteReference w:id="118"/>
      </w:r>
      <w:r w:rsidRPr="003A4261">
        <w:t xml:space="preserve"> These complexities can keep otherwise-eligible individuals from enrolling in the MSPs and increase administrative work for states.</w:t>
      </w:r>
    </w:p>
    <w:p w14:paraId="326B239E" w14:textId="77777777" w:rsidR="006D7C32" w:rsidRPr="003A4261" w:rsidRDefault="006D7C32" w:rsidP="006D7C32">
      <w:pPr>
        <w:rPr>
          <w:u w:val="single"/>
        </w:rPr>
      </w:pPr>
      <w:r w:rsidRPr="00E86F8E">
        <w:rPr>
          <w:rStyle w:val="BlueEmphasisChar"/>
        </w:rPr>
        <w:t>What makes this a good option for states?</w:t>
      </w:r>
      <w:r w:rsidRPr="003A4261">
        <w:t xml:space="preserve"> This is a relatively low-cost option that improves access to the MSPs while reducing administrative burden for applicants and state workers.  </w:t>
      </w:r>
    </w:p>
    <w:p w14:paraId="2EED40BF" w14:textId="77777777" w:rsidR="006D7C32" w:rsidRPr="003A4261" w:rsidRDefault="006D7C32" w:rsidP="006D7C32">
      <w:pPr>
        <w:rPr>
          <w:iCs/>
        </w:rPr>
      </w:pPr>
      <w:r w:rsidRPr="00E86F8E">
        <w:rPr>
          <w:rStyle w:val="BlueEmphasisChar"/>
        </w:rPr>
        <w:t>Why does this model policy exclude the Qualified Disabled Working Individuals (QDWI) category?</w:t>
      </w:r>
      <w:r w:rsidRPr="003A4261">
        <w:t xml:space="preserve"> We omit QDWIs because, unlike other MSP categories, federal law does not permit states to disregard assets for QDWIs. The policy includes the QMB, SLMB, and QI categories because federal rules permit asset disregards for these categories.</w:t>
      </w:r>
    </w:p>
    <w:p w14:paraId="620B3316" w14:textId="77777777" w:rsidR="006D7C32" w:rsidRPr="003A4261" w:rsidRDefault="006D7C32" w:rsidP="006D7C32">
      <w:pPr>
        <w:rPr>
          <w:i/>
          <w:iCs/>
          <w:color w:val="000000"/>
        </w:rPr>
      </w:pPr>
      <w:r w:rsidRPr="00E86F8E">
        <w:rPr>
          <w:rStyle w:val="BlueEmphasisChar"/>
        </w:rPr>
        <w:t>Could this policy let people bypass MSP asset limits by buying farm equipment, vehicles, or plots of land?</w:t>
      </w:r>
      <w:r w:rsidRPr="003A4261">
        <w:t xml:space="preserve"> While possible, people already spend down to MSP asset limits with excluded expenses like home improvements. If someone were attempting to "hide" assets to gain MSP eligibility, it is unlikely they'd buy items like vehicles or equipment that quickly lose value or land that can create issues if they later need Medicaid long-term services and supports. </w:t>
      </w:r>
    </w:p>
    <w:p w14:paraId="22AC7109" w14:textId="77777777" w:rsidR="006D7C32" w:rsidRPr="003A4261" w:rsidRDefault="006D7C32" w:rsidP="006D7C32">
      <w:r w:rsidRPr="00E86F8E">
        <w:rPr>
          <w:rStyle w:val="BlueEmphasisChar"/>
        </w:rPr>
        <w:t>Does this policy align MSP rules on non-liquid assets with the Part D Extra Help rules?</w:t>
      </w:r>
      <w:r w:rsidRPr="003A4261">
        <w:t xml:space="preserve"> This model policy excludes all non-liquid assets from the asset test, while Part D Extra Help excludes all except certain real estate. Thus, the policies are similar but not identical.</w:t>
      </w:r>
    </w:p>
    <w:p w14:paraId="63F2BD4A" w14:textId="582480F4" w:rsidR="00DA6BD4" w:rsidRDefault="006D7C32" w:rsidP="006D7C32">
      <w:r w:rsidRPr="00E86F8E">
        <w:rPr>
          <w:rStyle w:val="BlueEmphasisChar"/>
        </w:rPr>
        <w:t>Can states take more incremental steps (e.g., disregarding only certain types of non-liquid assets)?</w:t>
      </w:r>
      <w:r w:rsidRPr="003A4261">
        <w:rPr>
          <w:i/>
          <w:iCs/>
        </w:rPr>
        <w:t xml:space="preserve"> </w:t>
      </w:r>
      <w:r w:rsidRPr="003A4261">
        <w:t xml:space="preserve">Yes. States may use the same authorities under section 1902(r)(2) of the Social Security Act to exclude specific non-liquid assets. At least </w:t>
      </w:r>
      <w:r w:rsidR="000D055A">
        <w:t>three</w:t>
      </w:r>
      <w:r w:rsidRPr="003A4261">
        <w:t xml:space="preserve"> states—Rhode Island, South Carolina, and Wyoming—already do so.</w:t>
      </w:r>
    </w:p>
    <w:p w14:paraId="7FF536AD" w14:textId="61B2A93F" w:rsidR="00DA6BD4" w:rsidRDefault="00DA6BD4" w:rsidP="006D7C32">
      <w:pPr>
        <w:sectPr w:rsidR="00DA6BD4" w:rsidSect="00BC71B3">
          <w:footerReference w:type="default" r:id="rId55"/>
          <w:endnotePr>
            <w:numFmt w:val="decimal"/>
          </w:endnotePr>
          <w:pgSz w:w="12240" w:h="15840"/>
          <w:pgMar w:top="1440" w:right="1440" w:bottom="1440" w:left="1440" w:header="720" w:footer="432" w:gutter="0"/>
          <w:cols w:space="720"/>
          <w:docGrid w:linePitch="360"/>
        </w:sectPr>
      </w:pPr>
      <w:r w:rsidRPr="00E86F8E">
        <w:rPr>
          <w:rStyle w:val="BlueEmphasisChar"/>
        </w:rPr>
        <w:t>What steps would a state need to take to make this change?</w:t>
      </w:r>
      <w:r w:rsidRPr="003A4261">
        <w:rPr>
          <w:iCs/>
        </w:rPr>
        <w:t xml:space="preserve"> </w:t>
      </w:r>
      <w:r w:rsidRPr="003A4261">
        <w:t>The change would likely require short-term policy and operational investments to update eligibility systems, including amending the State Medicaid Plan, and updating manuals and related rules and guidance</w:t>
      </w:r>
      <w:r w:rsidR="0002541B">
        <w:t>.</w:t>
      </w:r>
    </w:p>
    <w:p w14:paraId="41460F4F" w14:textId="77777777" w:rsidR="00E37A39" w:rsidRPr="00EE69FF" w:rsidRDefault="00E37A39" w:rsidP="0002541B"/>
    <w:sectPr w:rsidR="00E37A39" w:rsidRPr="00EE69FF" w:rsidSect="00BC71B3">
      <w:headerReference w:type="default" r:id="rId56"/>
      <w:footerReference w:type="default" r:id="rId57"/>
      <w:endnotePr>
        <w:numFmt w:val="decimal"/>
      </w:endnotePr>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3791" w14:textId="77777777" w:rsidR="005F45CD" w:rsidRPr="00C56681" w:rsidRDefault="005F45CD" w:rsidP="00C56681">
      <w:pPr>
        <w:spacing w:after="0"/>
        <w:rPr>
          <w:sz w:val="20"/>
          <w:szCs w:val="20"/>
        </w:rPr>
      </w:pPr>
      <w:r w:rsidRPr="00C56681">
        <w:rPr>
          <w:sz w:val="20"/>
          <w:szCs w:val="20"/>
        </w:rPr>
        <w:separator/>
      </w:r>
    </w:p>
  </w:endnote>
  <w:endnote w:type="continuationSeparator" w:id="0">
    <w:p w14:paraId="621F73A0" w14:textId="77777777" w:rsidR="005F45CD" w:rsidRPr="008F3FC6" w:rsidRDefault="005F45CD" w:rsidP="008F3FC6">
      <w:pPr>
        <w:pStyle w:val="Footer"/>
      </w:pPr>
    </w:p>
  </w:endnote>
  <w:endnote w:type="continuationNotice" w:id="1">
    <w:p w14:paraId="7FFDF612" w14:textId="77777777" w:rsidR="005F45CD" w:rsidRDefault="005F45CD" w:rsidP="0014057A"/>
  </w:endnote>
  <w:endnote w:id="2">
    <w:p w14:paraId="3E590417" w14:textId="77777777" w:rsidR="00AE7862" w:rsidRPr="006E5E24" w:rsidRDefault="00AE7862" w:rsidP="006E5E24">
      <w:pPr>
        <w:pStyle w:val="Endnote"/>
        <w:spacing w:before="0" w:after="0"/>
        <w:rPr>
          <w:rFonts w:cs="Tahoma"/>
          <w:b/>
          <w:bCs/>
          <w:szCs w:val="16"/>
        </w:rPr>
      </w:pPr>
      <w:r w:rsidRPr="006E5E24">
        <w:rPr>
          <w:rFonts w:cs="Tahoma"/>
          <w:b/>
          <w:bCs/>
          <w:szCs w:val="16"/>
        </w:rPr>
        <w:t>Explanatory notes and citations</w:t>
      </w:r>
    </w:p>
    <w:p w14:paraId="77FECEBA" w14:textId="77777777" w:rsidR="00AE7862" w:rsidRPr="006E5E24" w:rsidRDefault="00AE7862" w:rsidP="006E5E24">
      <w:pPr>
        <w:pStyle w:val="Endnote"/>
        <w:spacing w:before="0" w:after="0"/>
        <w:rPr>
          <w:rFonts w:cs="Tahoma"/>
          <w:szCs w:val="16"/>
        </w:rPr>
      </w:pPr>
      <w:r w:rsidRPr="006E5E24">
        <w:rPr>
          <w:rStyle w:val="EndnoteReference"/>
          <w:rFonts w:cs="Tahoma"/>
          <w:szCs w:val="16"/>
        </w:rPr>
        <w:endnoteRef/>
      </w:r>
      <w:r w:rsidRPr="006E5E24">
        <w:rPr>
          <w:rFonts w:cs="Tahoma"/>
          <w:szCs w:val="16"/>
        </w:rPr>
        <w:t xml:space="preserve"> Out-of-pocket health care spending costs Medicare beneficiaries on average $6,330 per capita in 2022, accounting for 39% of annual Social Security income. Nancy Ochieng et al., “Health Costs Consume a Large Portion of Income for Millions of People with Medicare,” </w:t>
      </w:r>
      <w:r w:rsidRPr="006E5E24">
        <w:rPr>
          <w:rFonts w:cs="Tahoma"/>
          <w:i/>
          <w:iCs/>
          <w:szCs w:val="16"/>
        </w:rPr>
        <w:t>KFF</w:t>
      </w:r>
      <w:r w:rsidRPr="006E5E24">
        <w:rPr>
          <w:rFonts w:cs="Tahoma"/>
          <w:szCs w:val="16"/>
        </w:rPr>
        <w:t xml:space="preserve">, August 21, 2025, </w:t>
      </w:r>
      <w:hyperlink r:id="rId1" w:history="1">
        <w:r w:rsidRPr="006E5E24">
          <w:rPr>
            <w:rStyle w:val="Hyperlink"/>
            <w:rFonts w:cs="Tahoma"/>
            <w:szCs w:val="16"/>
          </w:rPr>
          <w:t>https://www.kff.org/medicare/health-costs-consume-a-large-portion-of-income-for-millions-of-people-with-medicare</w:t>
        </w:r>
      </w:hyperlink>
      <w:r w:rsidRPr="006E5E24">
        <w:rPr>
          <w:rFonts w:cs="Tahoma"/>
          <w:szCs w:val="16"/>
        </w:rPr>
        <w:t xml:space="preserve">.  </w:t>
      </w:r>
    </w:p>
  </w:endnote>
  <w:endnote w:id="3">
    <w:p w14:paraId="054DB6C0" w14:textId="77777777" w:rsidR="00AE7862" w:rsidRPr="006E5E24" w:rsidRDefault="00AE7862" w:rsidP="006E5E24">
      <w:pPr>
        <w:pStyle w:val="Endnote"/>
        <w:spacing w:before="0" w:after="0"/>
        <w:rPr>
          <w:rFonts w:cs="Tahoma"/>
          <w:szCs w:val="16"/>
        </w:rPr>
      </w:pPr>
      <w:r w:rsidRPr="006E5E24">
        <w:rPr>
          <w:rStyle w:val="EndnoteReference"/>
          <w:rFonts w:cs="Tahoma"/>
          <w:szCs w:val="16"/>
        </w:rPr>
        <w:endnoteRef/>
      </w:r>
      <w:r w:rsidRPr="006E5E24">
        <w:rPr>
          <w:rFonts w:cs="Tahoma"/>
          <w:szCs w:val="16"/>
        </w:rPr>
        <w:t xml:space="preserve"> In 2026, the federal poverty level is $1,330 per month. The Part B premium of $202.90 is over 15% of that amount. See U.S. Department of Health and Human Services, Office of the Assistant Secretary for Planning and Evaluation, “2026 Poverty Guidelines: 48 Contiguous States (All States except Alaska and Hawaii),” 2026, </w:t>
      </w:r>
      <w:hyperlink r:id="rId2" w:history="1">
        <w:r w:rsidRPr="006E5E24">
          <w:rPr>
            <w:rStyle w:val="Hyperlink"/>
            <w:rFonts w:cs="Tahoma"/>
            <w:szCs w:val="16"/>
          </w:rPr>
          <w:t>https://aspe.hhs.gov/sites/default/files/documents/b1bfa16b20ae9b89d525bc35de7c1643/detailed-guidelines-2026.pdf</w:t>
        </w:r>
      </w:hyperlink>
      <w:r w:rsidRPr="006E5E24">
        <w:rPr>
          <w:rFonts w:cs="Tahoma"/>
          <w:szCs w:val="16"/>
        </w:rPr>
        <w:t xml:space="preserve">; Centers for Medicare &amp; Medicaid Services (CMS), "2026 Medicare Parts A &amp; B Premiums and Deductibles,” Nov. 14, 2025, </w:t>
      </w:r>
      <w:hyperlink r:id="rId3" w:history="1">
        <w:r w:rsidRPr="006E5E24">
          <w:rPr>
            <w:rStyle w:val="Hyperlink"/>
            <w:rFonts w:cs="Tahoma"/>
            <w:szCs w:val="16"/>
          </w:rPr>
          <w:t>https://www.cms.gov/newsroom/fact-sheets/2026-medicare-parts-b-premiums-deductibles</w:t>
        </w:r>
      </w:hyperlink>
      <w:r w:rsidRPr="006E5E24">
        <w:rPr>
          <w:rFonts w:cs="Tahoma"/>
          <w:szCs w:val="16"/>
        </w:rPr>
        <w:t xml:space="preserve">; Medicare.gov. “Costs | Medicare.” </w:t>
      </w:r>
      <w:hyperlink r:id="rId4" w:history="1">
        <w:r w:rsidRPr="006E5E24">
          <w:rPr>
            <w:rStyle w:val="Hyperlink"/>
            <w:rFonts w:cs="Tahoma"/>
            <w:szCs w:val="16"/>
          </w:rPr>
          <w:t>https://www.medicare.gov/basics/costs/medicare-costs</w:t>
        </w:r>
      </w:hyperlink>
      <w:r w:rsidRPr="006E5E24">
        <w:rPr>
          <w:rFonts w:cs="Tahoma"/>
          <w:szCs w:val="16"/>
        </w:rPr>
        <w:t>.</w:t>
      </w:r>
    </w:p>
  </w:endnote>
  <w:endnote w:id="4">
    <w:p w14:paraId="2DE19EBE"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Susan L. Hayes et al., “Moving from Medicaid Expansion Coverage to Medicare Can Be a Burdensome Transition: A Qualitative Study,” Table 4, </w:t>
      </w:r>
      <w:r w:rsidRPr="006E5E24">
        <w:rPr>
          <w:rFonts w:cs="Tahoma"/>
          <w:i/>
          <w:sz w:val="16"/>
          <w:szCs w:val="16"/>
        </w:rPr>
        <w:t>Journal of General Internal Medicine</w:t>
      </w:r>
      <w:r w:rsidRPr="006E5E24">
        <w:rPr>
          <w:rFonts w:cs="Tahoma"/>
          <w:sz w:val="16"/>
          <w:szCs w:val="16"/>
        </w:rPr>
        <w:t xml:space="preserve">, September 2, 2025, </w:t>
      </w:r>
      <w:hyperlink r:id="rId5" w:history="1">
        <w:r w:rsidRPr="006E5E24">
          <w:rPr>
            <w:rStyle w:val="Hyperlink"/>
            <w:rFonts w:cs="Tahoma"/>
            <w:sz w:val="16"/>
            <w:szCs w:val="16"/>
          </w:rPr>
          <w:t>https://doi.org/10.1007/s11606-025-09789-9</w:t>
        </w:r>
      </w:hyperlink>
      <w:r w:rsidRPr="006E5E24">
        <w:rPr>
          <w:rFonts w:cs="Tahoma"/>
          <w:sz w:val="16"/>
          <w:szCs w:val="16"/>
        </w:rPr>
        <w:t>. See also, for example, “‘</w:t>
      </w:r>
      <w:proofErr w:type="spellStart"/>
      <w:r w:rsidRPr="006E5E24">
        <w:rPr>
          <w:rFonts w:cs="Tahoma"/>
          <w:sz w:val="16"/>
          <w:szCs w:val="16"/>
        </w:rPr>
        <w:t>Yingtong</w:t>
      </w:r>
      <w:proofErr w:type="spellEnd"/>
      <w:r w:rsidRPr="006E5E24">
        <w:rPr>
          <w:rFonts w:cs="Tahoma"/>
          <w:sz w:val="16"/>
          <w:szCs w:val="16"/>
        </w:rPr>
        <w:t xml:space="preserve">’ #06,” The People Say, 2023, </w:t>
      </w:r>
      <w:hyperlink r:id="rId6" w:history="1">
        <w:r w:rsidRPr="006E5E24">
          <w:rPr>
            <w:rStyle w:val="Hyperlink"/>
            <w:rFonts w:cs="Tahoma"/>
            <w:sz w:val="16"/>
            <w:szCs w:val="16"/>
          </w:rPr>
          <w:t>https://thepeoplesay.org/data/show/Yingtong-06</w:t>
        </w:r>
      </w:hyperlink>
      <w:r w:rsidRPr="006E5E24">
        <w:rPr>
          <w:rFonts w:cs="Tahoma"/>
          <w:sz w:val="16"/>
          <w:szCs w:val="16"/>
        </w:rPr>
        <w:t xml:space="preserve">; “‘Gretchen’ #05,” The People Say, 2025, </w:t>
      </w:r>
      <w:hyperlink r:id="rId7" w:history="1">
        <w:r w:rsidRPr="006E5E24">
          <w:rPr>
            <w:rStyle w:val="Hyperlink"/>
            <w:rFonts w:cs="Tahoma"/>
            <w:sz w:val="16"/>
            <w:szCs w:val="16"/>
          </w:rPr>
          <w:t>https://thepeoplesay.org/data/show/Gretchen-05</w:t>
        </w:r>
      </w:hyperlink>
      <w:r w:rsidRPr="006E5E24">
        <w:rPr>
          <w:rFonts w:cs="Tahoma"/>
          <w:sz w:val="16"/>
          <w:szCs w:val="16"/>
        </w:rPr>
        <w:t xml:space="preserve">; Susan Silberman et al., </w:t>
      </w:r>
      <w:r w:rsidRPr="006E5E24">
        <w:rPr>
          <w:rFonts w:cs="Tahoma"/>
          <w:i/>
          <w:sz w:val="16"/>
          <w:szCs w:val="16"/>
        </w:rPr>
        <w:t>Standing Back from the Medicare Cliff: Research and Policy Options to Help Low-Income Older Adults</w:t>
      </w:r>
      <w:r w:rsidRPr="006E5E24">
        <w:rPr>
          <w:rFonts w:cs="Tahoma"/>
          <w:sz w:val="16"/>
          <w:szCs w:val="16"/>
        </w:rPr>
        <w:t xml:space="preserve"> (National Council on Aging and LeadingAge LTSS Center @UMass Boston, 2024), Valerie's responses in Appendix C-1, </w:t>
      </w:r>
      <w:hyperlink r:id="rId8" w:history="1">
        <w:r w:rsidRPr="006E5E24">
          <w:rPr>
            <w:rStyle w:val="Hyperlink"/>
            <w:rFonts w:cs="Tahoma"/>
            <w:sz w:val="16"/>
            <w:szCs w:val="16"/>
          </w:rPr>
          <w:t>https://assets.ncoa.org/ffacfe7d-10b6-0083-2632-604077fd4eca/467f43a0-d595-483b-8fdb-be068ab9cbbf/2024_Medicare_Cliff_Report.pdf</w:t>
        </w:r>
      </w:hyperlink>
      <w:r w:rsidRPr="006E5E24">
        <w:rPr>
          <w:rFonts w:cs="Tahoma"/>
          <w:sz w:val="16"/>
          <w:szCs w:val="16"/>
        </w:rPr>
        <w:t xml:space="preserve">. </w:t>
      </w:r>
    </w:p>
  </w:endnote>
  <w:endnote w:id="5">
    <w:p w14:paraId="4393A887"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Juliette Cubanski, et al., “Overall Satisfaction with Medicare is High, But Beneficiaries Under Age 65 With Disabilities Experience More Insurance Problems Than Older Beneficiaries,” </w:t>
      </w:r>
      <w:r w:rsidRPr="006E5E24">
        <w:rPr>
          <w:rFonts w:cs="Tahoma"/>
          <w:i/>
          <w:iCs/>
          <w:sz w:val="16"/>
          <w:szCs w:val="16"/>
        </w:rPr>
        <w:t>KFF</w:t>
      </w:r>
      <w:r w:rsidRPr="006E5E24">
        <w:rPr>
          <w:rFonts w:cs="Tahoma"/>
          <w:sz w:val="16"/>
          <w:szCs w:val="16"/>
        </w:rPr>
        <w:t xml:space="preserve">, October 26, 2023, </w:t>
      </w:r>
      <w:hyperlink r:id="rId9" w:history="1">
        <w:r w:rsidRPr="006E5E24">
          <w:rPr>
            <w:rStyle w:val="Hyperlink"/>
            <w:rFonts w:cs="Tahoma"/>
            <w:sz w:val="16"/>
            <w:szCs w:val="16"/>
          </w:rPr>
          <w:t>https://www.kff.org/medicare/overall-satisfaction-with-medicare-is-high-but-beneficiaries-under-age-65-with-disabilities-experience-more-insurance-problems-than-older-beneficiaries</w:t>
        </w:r>
      </w:hyperlink>
      <w:r w:rsidRPr="006E5E24">
        <w:rPr>
          <w:rFonts w:cs="Tahoma"/>
          <w:sz w:val="16"/>
          <w:szCs w:val="16"/>
        </w:rPr>
        <w:t>.</w:t>
      </w:r>
    </w:p>
  </w:endnote>
  <w:endnote w:id="6">
    <w:p w14:paraId="12B52427"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Part D Extra Help is also sometimes referred to as the low-income subsidy, or LIS. For more information on Extra Help, see </w:t>
      </w:r>
      <w:hyperlink r:id="rId10" w:history="1">
        <w:r w:rsidRPr="006E5E24">
          <w:rPr>
            <w:rStyle w:val="Hyperlink"/>
            <w:rFonts w:cs="Tahoma"/>
            <w:sz w:val="16"/>
            <w:szCs w:val="16"/>
          </w:rPr>
          <w:t>https://www.medicare.gov/basics/costs/help/drug-costs</w:t>
        </w:r>
      </w:hyperlink>
      <w:r w:rsidRPr="006E5E24">
        <w:rPr>
          <w:rFonts w:cs="Tahoma"/>
          <w:sz w:val="16"/>
          <w:szCs w:val="16"/>
        </w:rPr>
        <w:t xml:space="preserve">. </w:t>
      </w:r>
    </w:p>
  </w:endnote>
  <w:endnote w:id="7">
    <w:p w14:paraId="4A38AF3A" w14:textId="77777777" w:rsidR="008F75CB" w:rsidRPr="006E5E24" w:rsidRDefault="008F75CB" w:rsidP="006E5E24">
      <w:pPr>
        <w:spacing w:after="0"/>
        <w:contextualSpacing/>
        <w:rPr>
          <w:rFonts w:cs="Tahoma"/>
          <w:sz w:val="16"/>
          <w:szCs w:val="16"/>
        </w:rPr>
      </w:pPr>
      <w:r w:rsidRPr="006E5E24">
        <w:rPr>
          <w:rStyle w:val="EndnoteReference"/>
          <w:rFonts w:cs="Tahoma"/>
          <w:sz w:val="16"/>
          <w:szCs w:val="16"/>
        </w:rPr>
        <w:endnoteRef/>
      </w:r>
      <w:r w:rsidRPr="006E5E24">
        <w:rPr>
          <w:rFonts w:cs="Tahoma"/>
          <w:sz w:val="16"/>
          <w:szCs w:val="16"/>
        </w:rPr>
        <w:t xml:space="preserve"> States must use income and asset methodologies for MSP eligibility that are no more restrictive than those applied in the supplemental security income (SSI) program. Under section 1902(r)(2) of the Social Security Act, some states have adopted methodologies less restrictive than SSI, effectively raising income and asset limits above the federal baseline and, in some instances, removing the asset test altogether. See Centers for Medicare &amp; Medicaid Services (CMS), “Chapter 1: Program Overview and Policy,” </w:t>
      </w:r>
      <w:r w:rsidRPr="006E5E24">
        <w:rPr>
          <w:rFonts w:cs="Tahoma"/>
          <w:i/>
          <w:iCs/>
          <w:sz w:val="16"/>
          <w:szCs w:val="16"/>
        </w:rPr>
        <w:t>Manual for the State Payment of Medicare Premiums</w:t>
      </w:r>
      <w:r w:rsidRPr="006E5E24">
        <w:rPr>
          <w:rFonts w:cs="Tahoma"/>
          <w:sz w:val="16"/>
          <w:szCs w:val="16"/>
        </w:rPr>
        <w:t xml:space="preserve">, Pub. 100-24, section 1.6.2.1, </w:t>
      </w:r>
      <w:hyperlink r:id="rId11" w:history="1">
        <w:r w:rsidRPr="006E5E24">
          <w:rPr>
            <w:rStyle w:val="Hyperlink"/>
            <w:rFonts w:cs="Tahoma"/>
            <w:sz w:val="16"/>
            <w:szCs w:val="16"/>
          </w:rPr>
          <w:t>https://www.cms.gov/files/document/chapter-1-program-overview-and-policy.pdf</w:t>
        </w:r>
      </w:hyperlink>
      <w:r w:rsidRPr="006E5E24">
        <w:rPr>
          <w:rFonts w:cs="Tahoma"/>
          <w:sz w:val="16"/>
          <w:szCs w:val="16"/>
        </w:rPr>
        <w:t>; Medicare Payment Advisory Commission (</w:t>
      </w:r>
      <w:proofErr w:type="spellStart"/>
      <w:r w:rsidRPr="006E5E24">
        <w:rPr>
          <w:rFonts w:cs="Tahoma"/>
          <w:sz w:val="16"/>
          <w:szCs w:val="16"/>
        </w:rPr>
        <w:t>MedPAC</w:t>
      </w:r>
      <w:proofErr w:type="spellEnd"/>
      <w:r w:rsidRPr="006E5E24">
        <w:rPr>
          <w:rFonts w:cs="Tahoma"/>
          <w:sz w:val="16"/>
          <w:szCs w:val="16"/>
        </w:rPr>
        <w:t xml:space="preserve">) and Medicaid and CHIP Payment and Access Commission (MACPAC), “Data Book: Beneficiaries Dually Eligible for Medicare and Medicaid,” Table 2, December 2025, </w:t>
      </w:r>
      <w:hyperlink r:id="rId12" w:history="1">
        <w:r w:rsidRPr="006E5E24">
          <w:rPr>
            <w:rStyle w:val="Hyperlink"/>
            <w:rFonts w:cs="Tahoma"/>
            <w:sz w:val="16"/>
            <w:szCs w:val="16"/>
          </w:rPr>
          <w:t>https://www.macpac.gov/wp-content/uploads/2025/12/Dec25_MedPAC_MACPAC_DualsDataBook-WEB508-FINAL.pdf</w:t>
        </w:r>
      </w:hyperlink>
      <w:r w:rsidRPr="006E5E24">
        <w:rPr>
          <w:rFonts w:cs="Tahoma"/>
          <w:sz w:val="16"/>
          <w:szCs w:val="16"/>
        </w:rPr>
        <w:t xml:space="preserve">. </w:t>
      </w:r>
    </w:p>
  </w:endnote>
  <w:endnote w:id="8">
    <w:p w14:paraId="7BA733B6" w14:textId="77777777" w:rsidR="008F75CB" w:rsidRPr="006E5E24" w:rsidRDefault="008F75CB" w:rsidP="006E5E24">
      <w:pPr>
        <w:pStyle w:val="EndnoteText"/>
        <w:contextualSpacing/>
        <w:rPr>
          <w:rFonts w:cs="Tahoma"/>
          <w:sz w:val="16"/>
          <w:szCs w:val="16"/>
        </w:rPr>
      </w:pPr>
      <w:r w:rsidRPr="006E5E24">
        <w:rPr>
          <w:rStyle w:val="EndnoteReference"/>
          <w:rFonts w:cs="Tahoma"/>
          <w:sz w:val="16"/>
          <w:szCs w:val="16"/>
        </w:rPr>
        <w:endnoteRef/>
      </w:r>
      <w:r w:rsidRPr="006E5E24">
        <w:rPr>
          <w:rFonts w:cs="Tahoma"/>
          <w:sz w:val="16"/>
          <w:szCs w:val="16"/>
        </w:rPr>
        <w:t xml:space="preserve"> In 2026, Part B premium coverage totals almost $2,436 annually. The Part D LIS benefit is estimated to be worth about $5,700 per year. Social Security Administration, “Understanding the Extra Help </w:t>
      </w:r>
      <w:proofErr w:type="gramStart"/>
      <w:r w:rsidRPr="006E5E24">
        <w:rPr>
          <w:rFonts w:cs="Tahoma"/>
          <w:sz w:val="16"/>
          <w:szCs w:val="16"/>
        </w:rPr>
        <w:t>With</w:t>
      </w:r>
      <w:proofErr w:type="gramEnd"/>
      <w:r w:rsidRPr="006E5E24">
        <w:rPr>
          <w:rFonts w:cs="Tahoma"/>
          <w:sz w:val="16"/>
          <w:szCs w:val="16"/>
        </w:rPr>
        <w:t xml:space="preserve"> Your Medicare Prescription Drug Plan,” January 2026, </w:t>
      </w:r>
      <w:hyperlink r:id="rId13" w:history="1">
        <w:r w:rsidRPr="006E5E24">
          <w:rPr>
            <w:rStyle w:val="Hyperlink"/>
            <w:rFonts w:cs="Tahoma"/>
            <w:sz w:val="16"/>
            <w:szCs w:val="16"/>
          </w:rPr>
          <w:t>https://www.ssa.gov/pubs/EN-05-10508.pdf</w:t>
        </w:r>
      </w:hyperlink>
      <w:r w:rsidRPr="006E5E24">
        <w:rPr>
          <w:rFonts w:cs="Tahoma"/>
          <w:sz w:val="16"/>
          <w:szCs w:val="16"/>
        </w:rPr>
        <w:t xml:space="preserve">. </w:t>
      </w:r>
    </w:p>
  </w:endnote>
  <w:endnote w:id="9">
    <w:p w14:paraId="5877BFAE"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Alex D. Federman et al., “Avoidance Of Health Care Services Because Of Cost: Impact Of The Medicare Savings Program,” </w:t>
      </w:r>
      <w:r w:rsidRPr="006E5E24">
        <w:rPr>
          <w:rFonts w:cs="Tahoma"/>
          <w:i/>
          <w:iCs/>
          <w:sz w:val="16"/>
          <w:szCs w:val="16"/>
        </w:rPr>
        <w:t>Health Affairs</w:t>
      </w:r>
      <w:r w:rsidRPr="006E5E24">
        <w:rPr>
          <w:rFonts w:cs="Tahoma"/>
          <w:sz w:val="16"/>
          <w:szCs w:val="16"/>
        </w:rPr>
        <w:t xml:space="preserve"> 24, no. 1 (2005): 263-70, </w:t>
      </w:r>
      <w:hyperlink r:id="rId14" w:history="1">
        <w:r w:rsidRPr="006E5E24">
          <w:rPr>
            <w:rStyle w:val="Hyperlink"/>
            <w:rFonts w:cs="Tahoma"/>
            <w:sz w:val="16"/>
            <w:szCs w:val="16"/>
          </w:rPr>
          <w:t>https://doi.org/10.1377/hlthaff.24.1.263</w:t>
        </w:r>
      </w:hyperlink>
      <w:r w:rsidRPr="006E5E24">
        <w:rPr>
          <w:rFonts w:cs="Tahoma"/>
          <w:sz w:val="16"/>
          <w:szCs w:val="16"/>
        </w:rPr>
        <w:t xml:space="preserve">; Eric T. Roberts et al., “Racial and Ethnic Disparities in Health Care Use and Access Associated With Loss of Medicaid Supplemental Insurance Eligibility Above the Federal Poverty Level,” </w:t>
      </w:r>
      <w:r w:rsidRPr="006E5E24">
        <w:rPr>
          <w:rFonts w:cs="Tahoma"/>
          <w:i/>
          <w:iCs/>
          <w:sz w:val="16"/>
          <w:szCs w:val="16"/>
        </w:rPr>
        <w:t>JAMA Internal Medicine</w:t>
      </w:r>
      <w:r w:rsidRPr="006E5E24">
        <w:rPr>
          <w:rFonts w:cs="Tahoma"/>
          <w:sz w:val="16"/>
          <w:szCs w:val="16"/>
        </w:rPr>
        <w:t xml:space="preserve"> 183, no. 6 (2023): 534-43, </w:t>
      </w:r>
      <w:hyperlink r:id="rId15" w:history="1">
        <w:r w:rsidRPr="006E5E24">
          <w:rPr>
            <w:rStyle w:val="Hyperlink"/>
            <w:rFonts w:cs="Tahoma"/>
            <w:sz w:val="16"/>
            <w:szCs w:val="16"/>
          </w:rPr>
          <w:t>https://doi.org/10.1001/jamainternmed.2023.0512</w:t>
        </w:r>
      </w:hyperlink>
      <w:r w:rsidRPr="006E5E24">
        <w:rPr>
          <w:rFonts w:cs="Tahoma"/>
          <w:sz w:val="16"/>
          <w:szCs w:val="16"/>
        </w:rPr>
        <w:t xml:space="preserve">. </w:t>
      </w:r>
    </w:p>
  </w:endnote>
  <w:endnote w:id="10">
    <w:p w14:paraId="05016C14" w14:textId="77777777" w:rsidR="008F75CB" w:rsidRPr="006E5E24" w:rsidRDefault="008F75CB" w:rsidP="006E5E24">
      <w:pPr>
        <w:pStyle w:val="EndnoteText"/>
        <w:contextualSpacing/>
        <w:rPr>
          <w:rFonts w:cs="Tahoma"/>
          <w:color w:val="FF0000"/>
          <w:sz w:val="16"/>
          <w:szCs w:val="16"/>
        </w:rPr>
      </w:pPr>
      <w:r w:rsidRPr="006E5E24">
        <w:rPr>
          <w:rStyle w:val="EndnoteReference"/>
          <w:rFonts w:cs="Tahoma"/>
          <w:sz w:val="16"/>
          <w:szCs w:val="16"/>
        </w:rPr>
        <w:endnoteRef/>
      </w:r>
      <w:r w:rsidRPr="006E5E24">
        <w:rPr>
          <w:rFonts w:cs="Tahoma"/>
          <w:sz w:val="16"/>
          <w:szCs w:val="16"/>
        </w:rPr>
        <w:t xml:space="preserve"> Eric T. Roberts et al., “Loss of Subsidized Drug Coverage and Mortality among Medicare Beneficiaries,” </w:t>
      </w:r>
      <w:r w:rsidRPr="006E5E24">
        <w:rPr>
          <w:rFonts w:cs="Tahoma"/>
          <w:i/>
          <w:iCs/>
          <w:sz w:val="16"/>
          <w:szCs w:val="16"/>
        </w:rPr>
        <w:t>New England Journal of Medicine</w:t>
      </w:r>
      <w:r w:rsidRPr="006E5E24">
        <w:rPr>
          <w:rFonts w:cs="Tahoma"/>
          <w:sz w:val="16"/>
          <w:szCs w:val="16"/>
        </w:rPr>
        <w:t xml:space="preserve"> 392, no. 20 (2025): 2025-34, </w:t>
      </w:r>
      <w:hyperlink r:id="rId16" w:history="1">
        <w:r w:rsidRPr="006E5E24">
          <w:rPr>
            <w:rStyle w:val="Hyperlink"/>
            <w:rFonts w:cs="Tahoma"/>
            <w:sz w:val="16"/>
            <w:szCs w:val="16"/>
          </w:rPr>
          <w:t>https://doi.org/10.1056/NEJMsa2414435</w:t>
        </w:r>
      </w:hyperlink>
      <w:r w:rsidRPr="006E5E24">
        <w:rPr>
          <w:rFonts w:cs="Tahoma"/>
          <w:sz w:val="16"/>
          <w:szCs w:val="16"/>
        </w:rPr>
        <w:t xml:space="preserve">. </w:t>
      </w:r>
    </w:p>
  </w:endnote>
  <w:endnote w:id="11">
    <w:p w14:paraId="229BE407"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Sarah Kotb et al., “Medicare Savings Program Take-Up Estimates and Profile of Enrolled and Unenrolled Individuals,” </w:t>
      </w:r>
      <w:r w:rsidRPr="006E5E24">
        <w:rPr>
          <w:rFonts w:cs="Tahoma"/>
          <w:i/>
          <w:iCs/>
          <w:sz w:val="16"/>
          <w:szCs w:val="16"/>
        </w:rPr>
        <w:t>JAMA Network Open</w:t>
      </w:r>
      <w:r w:rsidRPr="006E5E24">
        <w:rPr>
          <w:rFonts w:cs="Tahoma"/>
          <w:sz w:val="16"/>
          <w:szCs w:val="16"/>
        </w:rPr>
        <w:t xml:space="preserve"> 8, no. 10 (2025): e2535408–e2535408, </w:t>
      </w:r>
      <w:hyperlink r:id="rId17" w:history="1">
        <w:r w:rsidRPr="006E5E24">
          <w:rPr>
            <w:rStyle w:val="Hyperlink"/>
            <w:rFonts w:cs="Tahoma"/>
            <w:sz w:val="16"/>
            <w:szCs w:val="16"/>
          </w:rPr>
          <w:t>https://doi.org/10.1001/jamanetworkopen.2025.35408</w:t>
        </w:r>
      </w:hyperlink>
      <w:r w:rsidRPr="006E5E24">
        <w:rPr>
          <w:rFonts w:cs="Tahoma"/>
          <w:sz w:val="16"/>
          <w:szCs w:val="16"/>
        </w:rPr>
        <w:t xml:space="preserve">; Kyle J. Caswell and Timothy A. Waidmann, “Medicare Savings Programs: New Estimates Continue to Show Many Eligible Individuals Not Enrolled,” MACPAC, June 15, 2017, </w:t>
      </w:r>
      <w:hyperlink r:id="rId18" w:history="1">
        <w:r w:rsidRPr="006E5E24">
          <w:rPr>
            <w:rStyle w:val="Hyperlink"/>
            <w:rFonts w:cs="Tahoma"/>
            <w:sz w:val="16"/>
            <w:szCs w:val="16"/>
          </w:rPr>
          <w:t>https://www.macpac.gov/publication/medicare-savings-programs-new-estimates-continue-to-show-many-eligible-individuals-not-enrolled</w:t>
        </w:r>
      </w:hyperlink>
      <w:r w:rsidRPr="006E5E24">
        <w:rPr>
          <w:rFonts w:cs="Tahoma"/>
          <w:sz w:val="16"/>
          <w:szCs w:val="16"/>
        </w:rPr>
        <w:t xml:space="preserve">; Matthew Niedzwiecki et al., “Medicare Savings Programs: Findings on Eligibility and Enrollment Trends Final Report,” Office of the Assistant Secretary for Planning and Evaluation, January 10, 2025, </w:t>
      </w:r>
      <w:hyperlink r:id="rId19" w:history="1">
        <w:r w:rsidRPr="006E5E24">
          <w:rPr>
            <w:rStyle w:val="Hyperlink"/>
            <w:rFonts w:cs="Tahoma"/>
            <w:sz w:val="16"/>
            <w:szCs w:val="16"/>
          </w:rPr>
          <w:t>https://aspe.hhs.gov/sites/default/files/documents/f9311ce78b51111648aa10aca69c953c/medicare-savings-programs-final-report.pdf</w:t>
        </w:r>
      </w:hyperlink>
      <w:r w:rsidRPr="006E5E24">
        <w:rPr>
          <w:rFonts w:cs="Tahoma"/>
          <w:sz w:val="16"/>
          <w:szCs w:val="16"/>
        </w:rPr>
        <w:t xml:space="preserve">. </w:t>
      </w:r>
    </w:p>
  </w:endnote>
  <w:endnote w:id="12">
    <w:p w14:paraId="5187B330" w14:textId="77777777" w:rsidR="008F75CB" w:rsidRPr="006E5E24" w:rsidRDefault="008F75C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CMS Office of Burden Reduction &amp; Health Informatics, “Navigating the Medicare Savings Program (MSP) Eligibility Experience,” n.d., </w:t>
      </w:r>
      <w:hyperlink r:id="rId20" w:history="1">
        <w:r w:rsidRPr="006E5E24">
          <w:rPr>
            <w:rStyle w:val="Hyperlink"/>
            <w:rFonts w:cs="Tahoma"/>
            <w:sz w:val="16"/>
            <w:szCs w:val="16"/>
          </w:rPr>
          <w:t>https://www.cms.gov/​files/​document/​navigatingmedicare-savings-program-msp-eligibilityexperience-journey-map.pdf</w:t>
        </w:r>
      </w:hyperlink>
      <w:r w:rsidRPr="006E5E24">
        <w:rPr>
          <w:rFonts w:cs="Tahoma"/>
          <w:sz w:val="16"/>
          <w:szCs w:val="16"/>
        </w:rPr>
        <w:t xml:space="preserve">; U.S. Department of Health and Human Services, Office of the Assistant Secretary for Planning and Evaluation, </w:t>
      </w:r>
      <w:r w:rsidRPr="006E5E24">
        <w:rPr>
          <w:rFonts w:cs="Tahoma"/>
          <w:i/>
          <w:iCs/>
          <w:sz w:val="16"/>
          <w:szCs w:val="16"/>
        </w:rPr>
        <w:t>Loss of Medicare-Medicaid Dual Eligible Status: Frequency, Contributing Factors, and Implications,</w:t>
      </w:r>
      <w:r w:rsidRPr="006E5E24">
        <w:rPr>
          <w:rFonts w:cs="Tahoma"/>
          <w:sz w:val="16"/>
          <w:szCs w:val="16"/>
        </w:rPr>
        <w:t xml:space="preserve"> May 8, 2019, </w:t>
      </w:r>
      <w:hyperlink r:id="rId21" w:tgtFrame="_blank" w:history="1">
        <w:r w:rsidRPr="006E5E24">
          <w:rPr>
            <w:rStyle w:val="Hyperlink"/>
            <w:rFonts w:cs="Tahoma"/>
            <w:sz w:val="16"/>
            <w:szCs w:val="16"/>
          </w:rPr>
          <w:t>https://aspe.hhs.gov/​basic-report/​loss-medicare-medicaid-dual-eligible-status-frequency-contributing-factors-and-implications</w:t>
        </w:r>
      </w:hyperlink>
      <w:r w:rsidRPr="006E5E24">
        <w:rPr>
          <w:rFonts w:cs="Tahoma"/>
          <w:sz w:val="16"/>
          <w:szCs w:val="16"/>
        </w:rPr>
        <w:t xml:space="preserve">; Medicaid and CHIP Payment and Access Commission (MACPAC). “Improving participation in the Medicare Savings Programs,” Report to Congress, June 2020, </w:t>
      </w:r>
      <w:hyperlink r:id="rId22" w:history="1">
        <w:r w:rsidRPr="006E5E24">
          <w:rPr>
            <w:rStyle w:val="Hyperlink"/>
            <w:rFonts w:cs="Tahoma"/>
            <w:sz w:val="16"/>
            <w:szCs w:val="16"/>
          </w:rPr>
          <w:t>https://www.macpac.gov/​publication/​chapter-3-improving-participation-in-the-medicare-savings-programs​</w:t>
        </w:r>
      </w:hyperlink>
      <w:r w:rsidRPr="006E5E24">
        <w:rPr>
          <w:rFonts w:cs="Tahoma"/>
          <w:sz w:val="16"/>
          <w:szCs w:val="16"/>
        </w:rPr>
        <w:t xml:space="preserve">; Government Accountability Office, “Medicare Savings Programs: Implementation of Requirements Aimed at Increasing Enrollment,” September 2012, </w:t>
      </w:r>
      <w:hyperlink r:id="rId23" w:tgtFrame="_blank" w:history="1">
        <w:r w:rsidRPr="006E5E24">
          <w:rPr>
            <w:rStyle w:val="Hyperlink"/>
            <w:rFonts w:cs="Tahoma"/>
            <w:sz w:val="16"/>
            <w:szCs w:val="16"/>
          </w:rPr>
          <w:t>https://www.gao.gov/​assets/​gao-12-871.pdf</w:t>
        </w:r>
      </w:hyperlink>
      <w:r w:rsidRPr="006E5E24">
        <w:rPr>
          <w:rFonts w:cs="Tahoma"/>
          <w:i/>
          <w:iCs/>
          <w:sz w:val="16"/>
          <w:szCs w:val="16"/>
        </w:rPr>
        <w:t>.</w:t>
      </w:r>
      <w:r w:rsidRPr="006E5E24">
        <w:rPr>
          <w:rFonts w:cs="Tahoma"/>
          <w:sz w:val="16"/>
          <w:szCs w:val="16"/>
        </w:rPr>
        <w:t xml:space="preserve">  </w:t>
      </w:r>
    </w:p>
  </w:endnote>
  <w:endnote w:id="13">
    <w:p w14:paraId="376199B4" w14:textId="77777777" w:rsidR="00D86A9E" w:rsidRPr="006E5E24" w:rsidRDefault="00D86A9E"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These model policies do not apply to the U.S. territories because they have not adopted the MSPs, which are mandatory Medicaid eligibility groups for the 50 states and the District of Columbia but optional for the territories. See CMS, </w:t>
      </w:r>
      <w:r w:rsidRPr="006E5E24">
        <w:rPr>
          <w:rFonts w:cs="Tahoma"/>
          <w:i/>
          <w:iCs/>
          <w:sz w:val="16"/>
          <w:szCs w:val="16"/>
        </w:rPr>
        <w:t>Working Families ‘Tax Cut’ Legislation, Public Law 119-21: Summary of Medicaid and Children’s Health Insurance Program (CHIP) Related Provisions</w:t>
      </w:r>
      <w:r w:rsidRPr="006E5E24">
        <w:rPr>
          <w:rFonts w:cs="Tahoma"/>
          <w:sz w:val="16"/>
          <w:szCs w:val="16"/>
        </w:rPr>
        <w:t xml:space="preserve">, CMCS Informational Bulletin, November 18, 2025, 4, </w:t>
      </w:r>
      <w:hyperlink r:id="rId24" w:history="1">
        <w:r w:rsidRPr="006E5E24">
          <w:rPr>
            <w:rStyle w:val="Hyperlink"/>
            <w:rFonts w:cs="Tahoma"/>
            <w:sz w:val="16"/>
            <w:szCs w:val="16"/>
          </w:rPr>
          <w:t>https://www.medicaid.gov/federal-policy-guidance/downloads/cib11182025.pdf</w:t>
        </w:r>
      </w:hyperlink>
      <w:r w:rsidRPr="006E5E24">
        <w:rPr>
          <w:rFonts w:cs="Tahoma"/>
          <w:sz w:val="16"/>
          <w:szCs w:val="16"/>
        </w:rPr>
        <w:t>.</w:t>
      </w:r>
    </w:p>
  </w:endnote>
  <w:endnote w:id="14">
    <w:p w14:paraId="67934AE7" w14:textId="77777777" w:rsidR="00BE3412" w:rsidRPr="006E5E24" w:rsidRDefault="00BE3412" w:rsidP="00BE3412">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Applicable to the continental U.S. Separate income limits for Alaska and Hawaii are available at Medicaid.gov. “Seniors &amp; Medicare and Medicaid Enrollees | Medicaid.” 2026. </w:t>
      </w:r>
      <w:hyperlink r:id="rId25" w:history="1">
        <w:r w:rsidRPr="006E5E24">
          <w:rPr>
            <w:rStyle w:val="Hyperlink"/>
            <w:rFonts w:cs="Tahoma"/>
            <w:sz w:val="16"/>
            <w:szCs w:val="16"/>
          </w:rPr>
          <w:t>https://www.medicaid.gov/medicaid/eligibility-policy/seniors-medicare-and-medicaid-enrollees</w:t>
        </w:r>
      </w:hyperlink>
      <w:r w:rsidRPr="006E5E24">
        <w:rPr>
          <w:rFonts w:cs="Tahoma"/>
          <w:sz w:val="16"/>
          <w:szCs w:val="16"/>
        </w:rPr>
        <w:t>. Medicare Savings Program income limits are codified at 42 CFR 435.121 to 435.125. The monthly income levels include a standard $20 income disregard.</w:t>
      </w:r>
    </w:p>
  </w:endnote>
  <w:endnote w:id="15">
    <w:p w14:paraId="17AC985B" w14:textId="77777777" w:rsidR="00BE3412" w:rsidRPr="006E5E24" w:rsidRDefault="00BE3412" w:rsidP="00BE3412">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States receive federal financial participation (FFP) at their standard Federal Medical Assistance Percentage (FMAP) rate for the state payment of Medicare Part A and B premiums and cost sharing for QMBs and Part B premiums for SLMBs. The federal government fully funds the payment of the Part B premiums for QIs through annual allotments to states. The standard FMAP rate varies based on a state’s average per capita income, ranging from 50% to 77% in federal fiscal year 2026. See CMS, </w:t>
      </w:r>
      <w:r w:rsidRPr="006E5E24">
        <w:rPr>
          <w:rFonts w:cs="Tahoma"/>
          <w:i/>
          <w:iCs/>
          <w:sz w:val="16"/>
          <w:szCs w:val="16"/>
        </w:rPr>
        <w:t>Manual for the State Payment of Medicare Premiums</w:t>
      </w:r>
      <w:r w:rsidRPr="006E5E24">
        <w:rPr>
          <w:rFonts w:cs="Tahoma"/>
          <w:sz w:val="16"/>
          <w:szCs w:val="16"/>
        </w:rPr>
        <w:t xml:space="preserve">, chapter 1, section 1.9; Elizabeth Williams et al., “Medicaid Financing: The Basics,” </w:t>
      </w:r>
      <w:r w:rsidRPr="006E5E24">
        <w:rPr>
          <w:rFonts w:cs="Tahoma"/>
          <w:i/>
          <w:iCs/>
          <w:sz w:val="16"/>
          <w:szCs w:val="16"/>
        </w:rPr>
        <w:t>KFF</w:t>
      </w:r>
      <w:r w:rsidRPr="006E5E24">
        <w:rPr>
          <w:rFonts w:cs="Tahoma"/>
          <w:sz w:val="16"/>
          <w:szCs w:val="16"/>
        </w:rPr>
        <w:t xml:space="preserve">, March 4, 2026, </w:t>
      </w:r>
      <w:hyperlink r:id="rId26" w:history="1">
        <w:r w:rsidRPr="006E5E24">
          <w:rPr>
            <w:rStyle w:val="Hyperlink"/>
            <w:rFonts w:cs="Tahoma"/>
            <w:sz w:val="16"/>
            <w:szCs w:val="16"/>
          </w:rPr>
          <w:t>https://www.kff.org/medicaid/medicaid-financing-the-basics</w:t>
        </w:r>
      </w:hyperlink>
      <w:r w:rsidRPr="006E5E24">
        <w:rPr>
          <w:rFonts w:cs="Tahoma"/>
          <w:sz w:val="16"/>
          <w:szCs w:val="16"/>
        </w:rPr>
        <w:t>.</w:t>
      </w:r>
    </w:p>
  </w:endnote>
  <w:endnote w:id="16">
    <w:p w14:paraId="535DA4B6" w14:textId="77777777" w:rsidR="00BE3412" w:rsidRPr="006E5E24" w:rsidRDefault="00BE3412" w:rsidP="00BE3412">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The Qualified Disabled &amp; Working Individuals (QDWI) MSP group is an extremely small MSP category limited to low-income individuals under 65 with disabilities who enroll in premium Part A about eight and a half years after returning to work, once their premium-free Part A ends. As of March 2025, only about 150 QDWIs were enrolled nationwide—mostly in single digits per state. Enrollment is low because QDWIs must be ineligible for all other Medicaid eligibility groups. Many individuals with disabilities who return to work qualify for full-benefit Medicaid (e.g., Medicaid eligibility groups first enacted in The Ticket to Work and Work Incentives Improvement Act of 1999), making them ineligible for QDWI. Others who meet QDWI income requirements may choose not to enroll in premium Part A with QDWI if available employer or marketplace plans are more affordable. CMS, </w:t>
      </w:r>
      <w:r w:rsidRPr="006E5E24">
        <w:rPr>
          <w:rFonts w:cs="Tahoma"/>
          <w:i/>
          <w:iCs/>
          <w:sz w:val="16"/>
          <w:szCs w:val="16"/>
        </w:rPr>
        <w:t>Manual for the State Payment of Medicare Premiums</w:t>
      </w:r>
      <w:r w:rsidRPr="006E5E24">
        <w:rPr>
          <w:rFonts w:cs="Tahoma"/>
          <w:sz w:val="16"/>
          <w:szCs w:val="16"/>
        </w:rPr>
        <w:t xml:space="preserve">, chapter 1, sections 1.3.2, 1.6.2; “MMCO Statistical &amp; Analytic Reports | CMS,” March 4, 2026, </w:t>
      </w:r>
      <w:hyperlink r:id="rId27">
        <w:r w:rsidRPr="006E5E24">
          <w:rPr>
            <w:rStyle w:val="Hyperlink"/>
            <w:rFonts w:cs="Tahoma"/>
            <w:sz w:val="16"/>
            <w:szCs w:val="16"/>
          </w:rPr>
          <w:t>https://www.cms.gov/data-research/research/statistical-resources-dually-eligible-beneficiaries/mmco-statistical-analytic-reports</w:t>
        </w:r>
      </w:hyperlink>
      <w:r w:rsidRPr="006E5E24">
        <w:rPr>
          <w:rFonts w:cs="Tahoma"/>
          <w:sz w:val="16"/>
          <w:szCs w:val="16"/>
        </w:rPr>
        <w:t>.</w:t>
      </w:r>
    </w:p>
  </w:endnote>
  <w:endnote w:id="17">
    <w:p w14:paraId="4B7956E9" w14:textId="1426DE55" w:rsidR="005F5216" w:rsidRPr="006E5E24" w:rsidRDefault="005F5216" w:rsidP="006E5E24">
      <w:pPr>
        <w:pStyle w:val="EndnoteText"/>
        <w:rPr>
          <w:rFonts w:cs="Tahoma"/>
          <w:sz w:val="16"/>
          <w:szCs w:val="16"/>
        </w:rPr>
      </w:pPr>
      <w:r w:rsidRPr="006E5E24">
        <w:rPr>
          <w:rFonts w:cs="Tahoma"/>
          <w:b/>
          <w:sz w:val="16"/>
          <w:szCs w:val="16"/>
        </w:rPr>
        <w:t>Explanatory notes and citations</w:t>
      </w:r>
    </w:p>
    <w:p w14:paraId="0907F6F3" w14:textId="77777777" w:rsidR="005F5216" w:rsidRPr="006E5E24" w:rsidRDefault="005F521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We use the term, “asset,” though the terms “assets” and “resources” are interchangeable. </w:t>
      </w:r>
    </w:p>
  </w:endnote>
  <w:endnote w:id="18">
    <w:p w14:paraId="119974A3" w14:textId="77777777" w:rsidR="005F5216" w:rsidRPr="006E5E24" w:rsidRDefault="005F521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Silberman, Susan, Rocki Basel, Jane Tavares, Marc A. Cohen, and Eileen J. Tell. </w:t>
      </w:r>
      <w:r w:rsidRPr="006E5E24">
        <w:rPr>
          <w:rFonts w:cs="Tahoma"/>
          <w:i/>
          <w:iCs/>
          <w:sz w:val="16"/>
          <w:szCs w:val="16"/>
        </w:rPr>
        <w:t>Standing Back from the Medicare Cliff: Research and Policy Options to Help Low-Income Older Adults</w:t>
      </w:r>
      <w:r w:rsidRPr="006E5E24">
        <w:rPr>
          <w:rFonts w:cs="Tahoma"/>
          <w:sz w:val="16"/>
          <w:szCs w:val="16"/>
        </w:rPr>
        <w:t xml:space="preserve">. National Council on Aging and LeadingAge LTSS Center @UMass Boston, 2024. </w:t>
      </w:r>
      <w:hyperlink r:id="rId28" w:history="1">
        <w:r w:rsidRPr="006E5E24">
          <w:rPr>
            <w:rStyle w:val="Hyperlink"/>
            <w:rFonts w:cs="Tahoma"/>
            <w:sz w:val="16"/>
            <w:szCs w:val="16"/>
          </w:rPr>
          <w:t>https://assets.ncoa.org/ffacfe7d-10b6-0083-2632-604077fd4eca/467f43a0-d595-483b-8fdb-be068ab9cbbf/2024_Medicare_Cliff_Report.pdf</w:t>
        </w:r>
      </w:hyperlink>
      <w:r w:rsidRPr="006E5E24">
        <w:rPr>
          <w:rFonts w:cs="Tahoma"/>
          <w:sz w:val="16"/>
          <w:szCs w:val="16"/>
        </w:rPr>
        <w:t>.</w:t>
      </w:r>
    </w:p>
  </w:endnote>
  <w:endnote w:id="19">
    <w:p w14:paraId="471C5912" w14:textId="77777777" w:rsidR="005F5216" w:rsidRPr="006E5E24" w:rsidRDefault="005F5216"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SSI asset methodologies are used to determine asset eligibility for the MSPs, but states </w:t>
      </w:r>
      <w:r w:rsidRPr="000E0093">
        <w:rPr>
          <w:rFonts w:cs="Tahoma"/>
          <w:sz w:val="16"/>
          <w:szCs w:val="16"/>
        </w:rPr>
        <w:t xml:space="preserve">can apply less restrictive asset methodologies to the QMB, SLMB and QI categories under section 1902(r)(2) of the Social Security Act. States can effectively eliminate the asset test for the MSPs by disregarding all countable assets. Centers for Medicare &amp; Medicaid Services (CMS), “Implementation Guide: Medicaid State Plan Eligibility Less Restrictive Resource Methodologies under 1902(r)(2)," Medicaid.gov, </w:t>
      </w:r>
      <w:r w:rsidRPr="006E5E24">
        <w:rPr>
          <w:rFonts w:cs="Tahoma"/>
          <w:sz w:val="16"/>
          <w:szCs w:val="16"/>
        </w:rPr>
        <w:t xml:space="preserve">n.d., </w:t>
      </w:r>
      <w:hyperlink r:id="rId29">
        <w:r w:rsidRPr="006E5E24">
          <w:rPr>
            <w:rStyle w:val="Hyperlink"/>
            <w:rFonts w:cs="Tahoma"/>
            <w:sz w:val="16"/>
            <w:szCs w:val="16"/>
          </w:rPr>
          <w:t>https://www.medicaid.gov/resources-for-states/downloads/macpro-ig-less-restrictive-resource-methodologies-1902r2.pdf</w:t>
        </w:r>
      </w:hyperlink>
      <w:r w:rsidRPr="006E5E24">
        <w:rPr>
          <w:rFonts w:cs="Tahoma"/>
          <w:sz w:val="16"/>
          <w:szCs w:val="16"/>
        </w:rPr>
        <w:t>.</w:t>
      </w:r>
    </w:p>
  </w:endnote>
  <w:endnote w:id="20">
    <w:p w14:paraId="2591E8CC" w14:textId="77777777" w:rsidR="005F5216" w:rsidRPr="006E5E24" w:rsidRDefault="005F521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CMS, “Implementation Guide: Medicaid State Plan Eligibility. Eligibility Groups - Mandatory Coverage Qualified Disabled and Working Individuals,” Medicaid.gov, n.d., </w:t>
      </w:r>
      <w:hyperlink r:id="rId30" w:history="1">
        <w:r w:rsidRPr="006E5E24">
          <w:rPr>
            <w:rStyle w:val="Hyperlink"/>
            <w:rFonts w:cs="Tahoma"/>
            <w:sz w:val="16"/>
            <w:szCs w:val="16"/>
          </w:rPr>
          <w:t>https://www.medicaid.gov/resources-for-states/downloads/macpro-ig-qualified-disabled-and-working-individuals.pdf</w:t>
        </w:r>
      </w:hyperlink>
      <w:r w:rsidRPr="006E5E24">
        <w:rPr>
          <w:rFonts w:cs="Tahoma"/>
          <w:sz w:val="16"/>
          <w:szCs w:val="16"/>
        </w:rPr>
        <w:t>.</w:t>
      </w:r>
    </w:p>
  </w:endnote>
  <w:endnote w:id="21">
    <w:p w14:paraId="3DB3C21E" w14:textId="7CCDF91C" w:rsidR="00B23DD1" w:rsidRDefault="00F66E33" w:rsidP="006E5E24">
      <w:pPr>
        <w:pStyle w:val="Endnote"/>
        <w:spacing w:before="0" w:after="0"/>
        <w:rPr>
          <w:rFonts w:cs="Tahoma"/>
          <w:szCs w:val="16"/>
        </w:rPr>
      </w:pPr>
      <w:r w:rsidRPr="006E5E24">
        <w:rPr>
          <w:rStyle w:val="EndnoteReference"/>
          <w:rFonts w:cs="Tahoma"/>
          <w:szCs w:val="16"/>
        </w:rPr>
        <w:endnoteRef/>
      </w:r>
      <w:r w:rsidRPr="006E5E24">
        <w:rPr>
          <w:rFonts w:cs="Tahoma"/>
          <w:szCs w:val="16"/>
        </w:rPr>
        <w:t xml:space="preserve"> In addition to the states that disregard all assets, two states have used authorities at section 1902(r)(2) of the Social Security Act to effectively increase the asset limits above the federal levels: California ($130,000 for an individual and an additional $65,000 for each household relative) and Minnesota ($10,000 for an individual and $18,000 for a couple). Rachel Gershon, “Final Rule to Streamline Enrollment in Medicare Savings Programs,” </w:t>
      </w:r>
      <w:r w:rsidRPr="006E5E24">
        <w:rPr>
          <w:rFonts w:cs="Tahoma"/>
          <w:i/>
          <w:iCs/>
          <w:szCs w:val="16"/>
        </w:rPr>
        <w:t>Justice in Aging</w:t>
      </w:r>
      <w:r w:rsidRPr="006E5E24">
        <w:rPr>
          <w:rFonts w:cs="Tahoma"/>
          <w:szCs w:val="16"/>
        </w:rPr>
        <w:t xml:space="preserve">, October 30, 2025, </w:t>
      </w:r>
      <w:hyperlink r:id="rId31" w:history="1">
        <w:r w:rsidR="006D50E4" w:rsidRPr="00AE70F6">
          <w:rPr>
            <w:rStyle w:val="Hyperlink"/>
            <w:rFonts w:cs="Tahoma"/>
            <w:szCs w:val="16"/>
          </w:rPr>
          <w:t>https://justiceinaging.org/final-rule-enrollment-in-medicare-savings-programs/</w:t>
        </w:r>
      </w:hyperlink>
      <w:r w:rsidRPr="006E5E24">
        <w:rPr>
          <w:rFonts w:cs="Tahoma"/>
          <w:szCs w:val="16"/>
        </w:rPr>
        <w:t xml:space="preserve">; “Asset Limits Frequently Asked Questions,” California Department of Health Care Services, </w:t>
      </w:r>
      <w:hyperlink r:id="rId32" w:history="1">
        <w:r w:rsidR="00285524" w:rsidRPr="00AE70F6">
          <w:rPr>
            <w:rStyle w:val="Hyperlink"/>
            <w:rFonts w:cs="Tahoma"/>
            <w:szCs w:val="16"/>
          </w:rPr>
          <w:t>https://www.dhcs.ca.gov/Medi-Cal/Pages/Help/asset-limits-faqs.aspx</w:t>
        </w:r>
      </w:hyperlink>
    </w:p>
    <w:p w14:paraId="2C297820" w14:textId="0F6B7574" w:rsidR="008F4A90" w:rsidRPr="006E5E24" w:rsidRDefault="008F4A90" w:rsidP="006E5E24">
      <w:pPr>
        <w:pStyle w:val="Endnote"/>
        <w:spacing w:before="0" w:after="0"/>
        <w:rPr>
          <w:rFonts w:cs="Tahoma"/>
          <w:szCs w:val="16"/>
        </w:rPr>
      </w:pPr>
      <w:r>
        <w:rPr>
          <w:rFonts w:cs="Tahoma"/>
          <w:szCs w:val="16"/>
        </w:rPr>
        <w:t>;</w:t>
      </w:r>
      <w:r w:rsidR="00F66E33" w:rsidRPr="006E5E24">
        <w:rPr>
          <w:rFonts w:cs="Tahoma"/>
          <w:szCs w:val="16"/>
        </w:rPr>
        <w:t xml:space="preserve"> “4.2.3.1 MSP Assets,” Minnesota Health Care Programs Eligibility Policy Manual, September 1, 2016, </w:t>
      </w:r>
      <w:hyperlink r:id="rId33" w:history="1">
        <w:r w:rsidRPr="00AE70F6">
          <w:rPr>
            <w:rStyle w:val="Hyperlink"/>
            <w:rFonts w:cs="Tahoma"/>
            <w:szCs w:val="16"/>
          </w:rPr>
          <w:t>https://hcopub.dhs.state.mn.us/epm/4_2_3_1.htm</w:t>
        </w:r>
      </w:hyperlink>
      <w:r>
        <w:rPr>
          <w:rFonts w:cs="Tahoma"/>
          <w:szCs w:val="16"/>
        </w:rPr>
        <w:t>.</w:t>
      </w:r>
    </w:p>
  </w:endnote>
  <w:endnote w:id="22">
    <w:p w14:paraId="44F222FE" w14:textId="77777777" w:rsidR="00AE78F4" w:rsidRPr="006E5E24"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CMS Office of Burden Reduction &amp; Health Informatics, “Navigating the Medicare Savings Program (MSP) Eligibility Experience,” n.d., </w:t>
      </w:r>
      <w:hyperlink r:id="rId34" w:history="1">
        <w:r w:rsidRPr="006E5E24">
          <w:rPr>
            <w:rStyle w:val="Hyperlink"/>
            <w:rFonts w:cs="Tahoma"/>
            <w:sz w:val="16"/>
            <w:szCs w:val="16"/>
          </w:rPr>
          <w:t>https://www.cms.gov/​files/​document/​navigatingmedicare-savings-program-msp-eligibilityexperience-journey-map.pdf</w:t>
        </w:r>
      </w:hyperlink>
      <w:r w:rsidRPr="006E5E24">
        <w:rPr>
          <w:rFonts w:cs="Tahoma"/>
          <w:sz w:val="16"/>
          <w:szCs w:val="16"/>
        </w:rPr>
        <w:t xml:space="preserve">; Michael Perry, Susan Kannel, and Adrianne Dulio, “Barriers to Medicaid Enrollment for Low-Income Seniors: Focus Group Findings.” (The Kaiser Commission on Medicaid and the Uninsured, 2002), 18-19, </w:t>
      </w:r>
      <w:hyperlink r:id="rId35" w:history="1">
        <w:r w:rsidRPr="006E5E24">
          <w:rPr>
            <w:rStyle w:val="Hyperlink"/>
            <w:rFonts w:cs="Tahoma"/>
            <w:sz w:val="16"/>
            <w:szCs w:val="16"/>
          </w:rPr>
          <w:t>https://files.kff.org/attachment/Barriers-to-Medicaid-Enrollment-for-Seniors-Findings-from-10-Focus-Groups-with-Low-Income-Seniors-Report</w:t>
        </w:r>
      </w:hyperlink>
      <w:r w:rsidRPr="006E5E24">
        <w:rPr>
          <w:rFonts w:cs="Tahoma"/>
          <w:sz w:val="16"/>
          <w:szCs w:val="16"/>
        </w:rPr>
        <w:t xml:space="preserve">; Kim Glaun, “Medicaid Programs to Assist Low-Income Medicare Beneficiaries: Medicare Savings Programs Case Study Findings” (The Kaiser Commission on Medicaid and the Uninsured, 2002), 14, </w:t>
      </w:r>
      <w:hyperlink r:id="rId36" w:anchor=":~:text=The%20Medicare%20Savings%20Programs%20asset%20limits%20are,and%20causes%20additional%20paperwork%20for%20state%20agencies" w:history="1">
        <w:r w:rsidRPr="006E5E24">
          <w:rPr>
            <w:rStyle w:val="Hyperlink"/>
            <w:rFonts w:cs="Tahoma"/>
            <w:sz w:val="16"/>
            <w:szCs w:val="16"/>
          </w:rPr>
          <w:t>https://www.kff.org/wp-content/uploads/2013/01/medicaid-programs-to-assist-low-income-medicare-beneficiaries-medicare-savings-programs-case-study-findings-background-paper.pdf#:~:text=The%20Medicare%20Savings%20Programs%20asset%20limits%20are,and%20causes%20additional%20paperwork%20for%20state%20agencies</w:t>
        </w:r>
      </w:hyperlink>
      <w:r w:rsidRPr="006E5E24">
        <w:rPr>
          <w:rFonts w:cs="Tahoma"/>
          <w:sz w:val="16"/>
          <w:szCs w:val="16"/>
        </w:rPr>
        <w:t xml:space="preserve">. </w:t>
      </w:r>
    </w:p>
  </w:endnote>
  <w:endnote w:id="23">
    <w:p w14:paraId="183555CC" w14:textId="77777777" w:rsidR="00AE78F4" w:rsidRPr="006E5E24"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for example, “Navigating the Medicare Savings Program Eligibility Experience;” Silberman et al., </w:t>
      </w:r>
      <w:r w:rsidRPr="006E5E24">
        <w:rPr>
          <w:rFonts w:cs="Tahoma"/>
          <w:i/>
          <w:iCs/>
          <w:sz w:val="16"/>
          <w:szCs w:val="16"/>
        </w:rPr>
        <w:t>Standing Back from the Cliff</w:t>
      </w:r>
      <w:r w:rsidRPr="006E5E24">
        <w:rPr>
          <w:rFonts w:cs="Tahoma"/>
          <w:sz w:val="16"/>
          <w:szCs w:val="16"/>
        </w:rPr>
        <w:t xml:space="preserve">; Glaun, Medicaid Programs to Assist Low-Income Medicare Beneficiaries: Medicare Savings Programs Case Study Findings; Laura Summer and Lee Thompson, </w:t>
      </w:r>
      <w:r w:rsidRPr="006E5E24">
        <w:rPr>
          <w:rFonts w:cs="Tahoma"/>
          <w:i/>
          <w:iCs/>
          <w:sz w:val="16"/>
          <w:szCs w:val="16"/>
        </w:rPr>
        <w:t>How Asset Tests Block Low-Income Medicare Beneficiaries from Needed Benefits</w:t>
      </w:r>
      <w:r w:rsidRPr="006E5E24">
        <w:rPr>
          <w:rFonts w:cs="Tahoma"/>
          <w:sz w:val="16"/>
          <w:szCs w:val="16"/>
        </w:rPr>
        <w:t xml:space="preserve"> (The Commonwealth Fund, 2004), </w:t>
      </w:r>
      <w:hyperlink r:id="rId37" w:history="1">
        <w:r w:rsidRPr="006E5E24">
          <w:rPr>
            <w:rStyle w:val="Hyperlink"/>
            <w:rFonts w:cs="Tahoma"/>
            <w:sz w:val="16"/>
            <w:szCs w:val="16"/>
          </w:rPr>
          <w:t>https://www.commonwealthfund.org/publications/issue-briefs/2004/may/how-asset-tests-block-low-income-medicare-beneficiaries-needed</w:t>
        </w:r>
      </w:hyperlink>
      <w:r w:rsidRPr="006E5E24">
        <w:rPr>
          <w:rFonts w:cs="Tahoma"/>
          <w:sz w:val="16"/>
          <w:szCs w:val="16"/>
        </w:rPr>
        <w:t>. Note that reductions in burdens may be more limited if applicants need to submit asset information when applying through integrated applications for MSP, full-benefit Medicaid, or programs like the Supplemental Nutrition Assistance Program (SNAP).</w:t>
      </w:r>
    </w:p>
  </w:endnote>
  <w:endnote w:id="24">
    <w:p w14:paraId="51293FAF" w14:textId="42E2A28B" w:rsidR="00AE78F4" w:rsidRPr="00E16326"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t>
      </w:r>
      <w:r w:rsidRPr="00E16326">
        <w:rPr>
          <w:rFonts w:cs="Tahoma"/>
          <w:sz w:val="16"/>
          <w:szCs w:val="16"/>
        </w:rPr>
        <w:t xml:space="preserve">AARP Public Policy Institute analysis shows most income-eligible individuals possess assets below MSP limits, with values remaining stable. Oliver, Tobey, </w:t>
      </w:r>
      <w:proofErr w:type="spellStart"/>
      <w:r w:rsidRPr="00E16326">
        <w:rPr>
          <w:rFonts w:cs="Tahoma"/>
          <w:sz w:val="16"/>
          <w:szCs w:val="16"/>
        </w:rPr>
        <w:t>Wenjia</w:t>
      </w:r>
      <w:proofErr w:type="spellEnd"/>
      <w:r w:rsidRPr="00E16326">
        <w:rPr>
          <w:rFonts w:cs="Tahoma"/>
          <w:sz w:val="16"/>
          <w:szCs w:val="16"/>
        </w:rPr>
        <w:t xml:space="preserve"> Zhu, Erin Weir Lakhmani, and Matt Niedzwiecki. </w:t>
      </w:r>
      <w:r w:rsidRPr="00E16326">
        <w:rPr>
          <w:rFonts w:cs="Tahoma"/>
          <w:i/>
          <w:iCs/>
          <w:sz w:val="16"/>
          <w:szCs w:val="16"/>
        </w:rPr>
        <w:t>Medicare Savings Programs: Most Who Are Eligible Hold Few Assets</w:t>
      </w:r>
      <w:r w:rsidRPr="00E16326">
        <w:rPr>
          <w:rFonts w:cs="Tahoma"/>
          <w:sz w:val="16"/>
          <w:szCs w:val="16"/>
        </w:rPr>
        <w:t xml:space="preserve">. AARP Public Policy Institute, 2026. </w:t>
      </w:r>
      <w:hyperlink r:id="rId38" w:history="1">
        <w:r w:rsidR="00727F9B" w:rsidRPr="00E16326">
          <w:rPr>
            <w:rStyle w:val="Hyperlink"/>
            <w:rFonts w:cs="Tahoma"/>
            <w:sz w:val="16"/>
            <w:szCs w:val="16"/>
          </w:rPr>
          <w:t>https://www.aarp.org/content/dam/aarp/ppi/topics/health/coverage-access/medicare-savings-programs-most-who-are-eligible-hold-few-assets.doi.10.26419-2fppi.00406.001.pdf</w:t>
        </w:r>
      </w:hyperlink>
      <w:r w:rsidR="00727F9B" w:rsidRPr="00E16326">
        <w:rPr>
          <w:rFonts w:cs="Tahoma"/>
          <w:sz w:val="16"/>
          <w:szCs w:val="16"/>
        </w:rPr>
        <w:t>.</w:t>
      </w:r>
      <w:r w:rsidRPr="00E16326">
        <w:rPr>
          <w:rFonts w:cs="Tahoma"/>
          <w:sz w:val="16"/>
          <w:szCs w:val="16"/>
        </w:rPr>
        <w:t xml:space="preserve"> According to another study, in 2020, individuals age 60 or older with a median income of $19,560 had zero net assets. Jane Tavares et al., </w:t>
      </w:r>
      <w:proofErr w:type="gramStart"/>
      <w:r w:rsidRPr="00E16326">
        <w:rPr>
          <w:rFonts w:cs="Tahoma"/>
          <w:i/>
          <w:iCs/>
          <w:sz w:val="16"/>
          <w:szCs w:val="16"/>
        </w:rPr>
        <w:t>The</w:t>
      </w:r>
      <w:proofErr w:type="gramEnd"/>
      <w:r w:rsidRPr="00E16326">
        <w:rPr>
          <w:rFonts w:cs="Tahoma"/>
          <w:i/>
          <w:iCs/>
          <w:sz w:val="16"/>
          <w:szCs w:val="16"/>
        </w:rPr>
        <w:t xml:space="preserve"> 80%: Low-Income Older Adults Die 9 Years Earlier than Those with Greatest Wealth</w:t>
      </w:r>
      <w:r w:rsidRPr="00E16326">
        <w:rPr>
          <w:rFonts w:cs="Tahoma"/>
          <w:sz w:val="16"/>
          <w:szCs w:val="16"/>
        </w:rPr>
        <w:t xml:space="preserve"> (National Council on Aging, LeadingAge LTSS Center @UMass Boston, 2025), </w:t>
      </w:r>
      <w:hyperlink r:id="rId39" w:history="1">
        <w:r w:rsidRPr="00E16326">
          <w:rPr>
            <w:rStyle w:val="Hyperlink"/>
            <w:rFonts w:cs="Tahoma"/>
            <w:sz w:val="16"/>
            <w:szCs w:val="16"/>
          </w:rPr>
          <w:t>https://assets.ncoa.org/ffacfe7d-10b6-0083-2632-604077fd4eca/df44501b-7c8e-43ac-8e12-2373288f71d4/2025_80_Percent_Report.pdf</w:t>
        </w:r>
      </w:hyperlink>
      <w:r w:rsidRPr="00E16326">
        <w:rPr>
          <w:rFonts w:cs="Tahoma"/>
          <w:sz w:val="16"/>
          <w:szCs w:val="16"/>
        </w:rPr>
        <w:t xml:space="preserve">. See also, </w:t>
      </w:r>
      <w:r w:rsidRPr="00E16326">
        <w:rPr>
          <w:rFonts w:cs="Tahoma"/>
          <w:i/>
          <w:iCs/>
          <w:sz w:val="16"/>
          <w:szCs w:val="16"/>
        </w:rPr>
        <w:t xml:space="preserve">Increasing the Rate of Ex </w:t>
      </w:r>
      <w:proofErr w:type="spellStart"/>
      <w:r w:rsidRPr="00E16326">
        <w:rPr>
          <w:rFonts w:cs="Tahoma"/>
          <w:i/>
          <w:iCs/>
          <w:sz w:val="16"/>
          <w:szCs w:val="16"/>
        </w:rPr>
        <w:t>Parte</w:t>
      </w:r>
      <w:proofErr w:type="spellEnd"/>
      <w:r w:rsidRPr="00E16326">
        <w:rPr>
          <w:rFonts w:cs="Tahoma"/>
          <w:i/>
          <w:iCs/>
          <w:sz w:val="16"/>
          <w:szCs w:val="16"/>
        </w:rPr>
        <w:t xml:space="preserve"> Renewals</w:t>
      </w:r>
      <w:r w:rsidRPr="00E16326">
        <w:rPr>
          <w:rFonts w:cs="Tahoma"/>
          <w:sz w:val="16"/>
          <w:szCs w:val="16"/>
        </w:rPr>
        <w:t xml:space="preserve">; Alex Cottrill et al., “Income and Assets of Medicare Beneficiaries in 2024,” </w:t>
      </w:r>
      <w:r w:rsidRPr="00E16326">
        <w:rPr>
          <w:rFonts w:cs="Tahoma"/>
          <w:i/>
          <w:iCs/>
          <w:sz w:val="16"/>
          <w:szCs w:val="16"/>
        </w:rPr>
        <w:t>KFF</w:t>
      </w:r>
      <w:r w:rsidRPr="00E16326">
        <w:rPr>
          <w:rFonts w:cs="Tahoma"/>
          <w:sz w:val="16"/>
          <w:szCs w:val="16"/>
        </w:rPr>
        <w:t xml:space="preserve">, August 25, 2025, </w:t>
      </w:r>
      <w:hyperlink r:id="rId40" w:history="1">
        <w:r w:rsidRPr="00E16326">
          <w:rPr>
            <w:rStyle w:val="Hyperlink"/>
            <w:rFonts w:cs="Tahoma"/>
            <w:sz w:val="16"/>
            <w:szCs w:val="16"/>
          </w:rPr>
          <w:t>https://www.kff.org/medicare/income-and-assets-of-medicare-beneficiaries</w:t>
        </w:r>
      </w:hyperlink>
      <w:r w:rsidRPr="00E16326">
        <w:rPr>
          <w:rFonts w:cs="Tahoma"/>
          <w:sz w:val="16"/>
          <w:szCs w:val="16"/>
        </w:rPr>
        <w:t xml:space="preserve">. </w:t>
      </w:r>
    </w:p>
  </w:endnote>
  <w:endnote w:id="25">
    <w:p w14:paraId="367D0ED7"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for example, </w:t>
      </w:r>
      <w:r w:rsidRPr="00E16326">
        <w:rPr>
          <w:rFonts w:cs="Tahoma"/>
          <w:i/>
          <w:iCs/>
          <w:sz w:val="16"/>
          <w:szCs w:val="16"/>
        </w:rPr>
        <w:t xml:space="preserve">Increasing the Rate of Ex </w:t>
      </w:r>
      <w:proofErr w:type="spellStart"/>
      <w:r w:rsidRPr="00E16326">
        <w:rPr>
          <w:rFonts w:cs="Tahoma"/>
          <w:i/>
          <w:iCs/>
          <w:sz w:val="16"/>
          <w:szCs w:val="16"/>
        </w:rPr>
        <w:t>Parte</w:t>
      </w:r>
      <w:proofErr w:type="spellEnd"/>
      <w:r w:rsidRPr="00E16326">
        <w:rPr>
          <w:rFonts w:cs="Tahoma"/>
          <w:i/>
          <w:iCs/>
          <w:sz w:val="16"/>
          <w:szCs w:val="16"/>
        </w:rPr>
        <w:t xml:space="preserve"> Renewals</w:t>
      </w:r>
      <w:r w:rsidRPr="00E16326">
        <w:rPr>
          <w:rFonts w:cs="Tahoma"/>
          <w:sz w:val="16"/>
          <w:szCs w:val="16"/>
        </w:rPr>
        <w:t xml:space="preserve"> (MACPAC, Sept. 2023), 5-6, </w:t>
      </w:r>
      <w:hyperlink r:id="rId41" w:history="1">
        <w:r w:rsidRPr="00E16326">
          <w:rPr>
            <w:rStyle w:val="Hyperlink"/>
            <w:rFonts w:cs="Tahoma"/>
            <w:sz w:val="16"/>
            <w:szCs w:val="16"/>
          </w:rPr>
          <w:t>https://www.macpac.gov/wp-content/uploads/2023/09/Increasing-the-Rate-of-Ex-Parte-Renewals-Brief.pdf</w:t>
        </w:r>
      </w:hyperlink>
      <w:r w:rsidRPr="00E16326">
        <w:rPr>
          <w:rFonts w:cs="Tahoma"/>
          <w:sz w:val="16"/>
          <w:szCs w:val="16"/>
        </w:rPr>
        <w:t xml:space="preserve">; CMS Office of Burden Reduction &amp; Health Informatics. “Navigating the Medicare Savings Program (MSP) Eligibility Experience.” Centers for Medicare &amp; Medicaid Services, April 2022. </w:t>
      </w:r>
      <w:hyperlink r:id="rId42" w:history="1">
        <w:r w:rsidRPr="00E16326">
          <w:rPr>
            <w:rStyle w:val="Hyperlink"/>
            <w:rFonts w:cs="Tahoma"/>
            <w:sz w:val="16"/>
            <w:szCs w:val="16"/>
          </w:rPr>
          <w:t>https://www.cms.gov/files/document/navigating-medicare-savings-program-msp-eligibility-experience-journey-map.pdf</w:t>
        </w:r>
      </w:hyperlink>
      <w:r w:rsidRPr="00E16326" w:rsidDel="002C01AD">
        <w:rPr>
          <w:rFonts w:cs="Tahoma"/>
          <w:sz w:val="16"/>
          <w:szCs w:val="16"/>
        </w:rPr>
        <w:t>.</w:t>
      </w:r>
    </w:p>
  </w:endnote>
  <w:endnote w:id="26">
    <w:p w14:paraId="76AF2804" w14:textId="4005B0BF"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Oliver, Tobey, </w:t>
      </w:r>
      <w:proofErr w:type="spellStart"/>
      <w:r w:rsidRPr="00E16326">
        <w:rPr>
          <w:rFonts w:cs="Tahoma"/>
          <w:sz w:val="16"/>
          <w:szCs w:val="16"/>
        </w:rPr>
        <w:t>Wenjia</w:t>
      </w:r>
      <w:proofErr w:type="spellEnd"/>
      <w:r w:rsidRPr="00E16326">
        <w:rPr>
          <w:rFonts w:cs="Tahoma"/>
          <w:sz w:val="16"/>
          <w:szCs w:val="16"/>
        </w:rPr>
        <w:t xml:space="preserve"> Zhu, Erin Weir Lakhmani, and Andrea Wysocki. </w:t>
      </w:r>
      <w:r w:rsidRPr="00E16326">
        <w:rPr>
          <w:rFonts w:cs="Tahoma"/>
          <w:i/>
          <w:iCs/>
          <w:sz w:val="16"/>
          <w:szCs w:val="16"/>
        </w:rPr>
        <w:t>Medicare Savings Program Enrollment Increases When States Expand Financial Eligibility Criteria</w:t>
      </w:r>
      <w:r w:rsidRPr="00E16326">
        <w:rPr>
          <w:rFonts w:cs="Tahoma"/>
          <w:sz w:val="16"/>
          <w:szCs w:val="16"/>
        </w:rPr>
        <w:t xml:space="preserve">. AARP Public Policy Institute, 2023. </w:t>
      </w:r>
      <w:hyperlink r:id="rId43" w:history="1">
        <w:r w:rsidRPr="00E16326">
          <w:rPr>
            <w:rStyle w:val="Hyperlink"/>
            <w:rFonts w:cs="Tahoma"/>
            <w:sz w:val="16"/>
            <w:szCs w:val="16"/>
          </w:rPr>
          <w:t>https://www.aarp.org/content/dam/aarp/ppi/topics/health/coverage-access/medicare-savings-program-enrollment-increases.doi.10.26419-2Fppi.00210.001.pdf</w:t>
        </w:r>
      </w:hyperlink>
      <w:r w:rsidRPr="00E16326">
        <w:rPr>
          <w:rFonts w:cs="Tahoma"/>
          <w:sz w:val="16"/>
          <w:szCs w:val="16"/>
        </w:rPr>
        <w:t xml:space="preserve">; Summer and Thompson, </w:t>
      </w:r>
      <w:r w:rsidRPr="00E16326">
        <w:rPr>
          <w:rFonts w:cs="Tahoma"/>
          <w:i/>
          <w:iCs/>
          <w:sz w:val="16"/>
          <w:szCs w:val="16"/>
        </w:rPr>
        <w:t>How Asset Tests Block Low-Income Medicare Beneficiaries from Needed Benefits</w:t>
      </w:r>
      <w:r w:rsidRPr="00E16326">
        <w:rPr>
          <w:rFonts w:cs="Tahoma"/>
          <w:sz w:val="16"/>
          <w:szCs w:val="16"/>
        </w:rPr>
        <w:t xml:space="preserve"> (The Commonwealth Fund, 2004); Glaun, </w:t>
      </w:r>
      <w:r w:rsidRPr="00E16326">
        <w:rPr>
          <w:rFonts w:cs="Tahoma"/>
          <w:i/>
          <w:iCs/>
          <w:sz w:val="16"/>
          <w:szCs w:val="16"/>
        </w:rPr>
        <w:t>Medicaid Programs to Assist Low-Income Medicare Beneficiaries: Medicare Savings Programs Case Study Findings</w:t>
      </w:r>
      <w:r w:rsidRPr="00E16326">
        <w:rPr>
          <w:rFonts w:cs="Tahoma"/>
          <w:sz w:val="16"/>
          <w:szCs w:val="16"/>
        </w:rPr>
        <w:t>. Coverage gains may be tempered if applicants must provide asset information when applying through integrated applications for MSP, full-benefit Medicaid, or programs like the Supplemental Nutrition Assistance Program (SNAP).</w:t>
      </w:r>
    </w:p>
  </w:endnote>
  <w:endnote w:id="27">
    <w:p w14:paraId="389F2075" w14:textId="77777777" w:rsidR="00AE78F4" w:rsidRPr="00E16326" w:rsidRDefault="00AE78F4" w:rsidP="006E5E24">
      <w:pPr>
        <w:spacing w:after="0"/>
        <w:rPr>
          <w:rFonts w:cs="Tahoma"/>
          <w:sz w:val="16"/>
          <w:szCs w:val="16"/>
        </w:rPr>
      </w:pPr>
      <w:r w:rsidRPr="00E16326">
        <w:rPr>
          <w:rStyle w:val="EndnoteReference"/>
          <w:rFonts w:cs="Tahoma"/>
          <w:sz w:val="16"/>
          <w:szCs w:val="16"/>
        </w:rPr>
        <w:endnoteRef/>
      </w:r>
      <w:r w:rsidRPr="00E16326">
        <w:rPr>
          <w:rFonts w:cs="Tahoma"/>
          <w:sz w:val="16"/>
          <w:szCs w:val="16"/>
        </w:rPr>
        <w:t xml:space="preserve"> Alex D. Federman et al., “Avoidance </w:t>
      </w:r>
      <w:proofErr w:type="gramStart"/>
      <w:r w:rsidRPr="00E16326">
        <w:rPr>
          <w:rFonts w:cs="Tahoma"/>
          <w:sz w:val="16"/>
          <w:szCs w:val="16"/>
        </w:rPr>
        <w:t>Of</w:t>
      </w:r>
      <w:proofErr w:type="gramEnd"/>
      <w:r w:rsidRPr="00E16326">
        <w:rPr>
          <w:rFonts w:cs="Tahoma"/>
          <w:sz w:val="16"/>
          <w:szCs w:val="16"/>
        </w:rPr>
        <w:t xml:space="preserve"> Health Care Services Because Of Cost: Impact </w:t>
      </w:r>
      <w:proofErr w:type="gramStart"/>
      <w:r w:rsidRPr="00E16326">
        <w:rPr>
          <w:rFonts w:cs="Tahoma"/>
          <w:sz w:val="16"/>
          <w:szCs w:val="16"/>
        </w:rPr>
        <w:t>Of</w:t>
      </w:r>
      <w:proofErr w:type="gramEnd"/>
      <w:r w:rsidRPr="00E16326">
        <w:rPr>
          <w:rFonts w:cs="Tahoma"/>
          <w:sz w:val="16"/>
          <w:szCs w:val="16"/>
        </w:rPr>
        <w:t xml:space="preserve"> </w:t>
      </w:r>
      <w:proofErr w:type="gramStart"/>
      <w:r w:rsidRPr="00E16326">
        <w:rPr>
          <w:rFonts w:cs="Tahoma"/>
          <w:sz w:val="16"/>
          <w:szCs w:val="16"/>
        </w:rPr>
        <w:t>The</w:t>
      </w:r>
      <w:proofErr w:type="gramEnd"/>
      <w:r w:rsidRPr="00E16326">
        <w:rPr>
          <w:rFonts w:cs="Tahoma"/>
          <w:sz w:val="16"/>
          <w:szCs w:val="16"/>
        </w:rPr>
        <w:t xml:space="preserve"> Medicare Savings Program,” </w:t>
      </w:r>
      <w:r w:rsidRPr="00E16326">
        <w:rPr>
          <w:rFonts w:cs="Tahoma"/>
          <w:i/>
          <w:sz w:val="16"/>
          <w:szCs w:val="16"/>
        </w:rPr>
        <w:t>Health Affairs</w:t>
      </w:r>
      <w:r w:rsidRPr="00E16326">
        <w:rPr>
          <w:rFonts w:cs="Tahoma"/>
          <w:sz w:val="16"/>
          <w:szCs w:val="16"/>
        </w:rPr>
        <w:t xml:space="preserve"> 24, no. 1 (2005): 263-70, </w:t>
      </w:r>
      <w:hyperlink r:id="rId44" w:history="1">
        <w:r w:rsidRPr="00E16326">
          <w:rPr>
            <w:rStyle w:val="Hyperlink"/>
            <w:rFonts w:cs="Tahoma"/>
            <w:sz w:val="16"/>
            <w:szCs w:val="16"/>
          </w:rPr>
          <w:t>https://doi.org/10.1377/hlthaff.24.1.263</w:t>
        </w:r>
      </w:hyperlink>
      <w:r w:rsidRPr="00E16326">
        <w:rPr>
          <w:rFonts w:cs="Tahoma"/>
          <w:sz w:val="16"/>
          <w:szCs w:val="16"/>
        </w:rPr>
        <w:t>.</w:t>
      </w:r>
    </w:p>
  </w:endnote>
  <w:endnote w:id="28">
    <w:p w14:paraId="4BACFDD9"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Yi-Ting Chou et al., “The Association Between Medicare Low-Income Subsidy and Anticancer Treatment Uptake in Advanced Lung Cancer,” </w:t>
      </w:r>
      <w:r w:rsidRPr="00E16326">
        <w:rPr>
          <w:rFonts w:cs="Tahoma"/>
          <w:i/>
          <w:iCs/>
          <w:sz w:val="16"/>
          <w:szCs w:val="16"/>
        </w:rPr>
        <w:t>Journal of the National Cancer Institute</w:t>
      </w:r>
      <w:r w:rsidRPr="00E16326">
        <w:rPr>
          <w:rFonts w:cs="Tahoma"/>
          <w:sz w:val="16"/>
          <w:szCs w:val="16"/>
        </w:rPr>
        <w:t xml:space="preserve"> 112, no. 6 (2020): 637-46, </w:t>
      </w:r>
      <w:hyperlink r:id="rId45" w:history="1">
        <w:r w:rsidRPr="00E16326">
          <w:rPr>
            <w:rStyle w:val="Hyperlink"/>
            <w:rFonts w:cs="Tahoma"/>
            <w:sz w:val="16"/>
            <w:szCs w:val="16"/>
          </w:rPr>
          <w:t>https://doi.org/10.1093/jnci/djz183</w:t>
        </w:r>
      </w:hyperlink>
      <w:r w:rsidRPr="00E16326">
        <w:rPr>
          <w:rFonts w:cs="Tahoma"/>
          <w:sz w:val="16"/>
          <w:szCs w:val="16"/>
        </w:rPr>
        <w:t>.</w:t>
      </w:r>
    </w:p>
  </w:endnote>
  <w:endnote w:id="29">
    <w:p w14:paraId="46934366"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Eric T. Roberts et al., “Loss of Subsidized Drug Coverage and Mortality among Medicare Beneficiaries,” </w:t>
      </w:r>
      <w:r w:rsidRPr="00E16326">
        <w:rPr>
          <w:rFonts w:cs="Tahoma"/>
          <w:i/>
          <w:iCs/>
          <w:sz w:val="16"/>
          <w:szCs w:val="16"/>
        </w:rPr>
        <w:t>New England Journal of Medicine</w:t>
      </w:r>
      <w:r w:rsidRPr="00E16326">
        <w:rPr>
          <w:rFonts w:cs="Tahoma"/>
          <w:sz w:val="16"/>
          <w:szCs w:val="16"/>
        </w:rPr>
        <w:t xml:space="preserve"> 392, no. 20 (2025): 2025-34, </w:t>
      </w:r>
      <w:hyperlink r:id="rId46" w:history="1">
        <w:r w:rsidRPr="00E16326">
          <w:rPr>
            <w:rStyle w:val="Hyperlink"/>
            <w:rFonts w:cs="Tahoma"/>
            <w:sz w:val="16"/>
            <w:szCs w:val="16"/>
          </w:rPr>
          <w:t>https://doi.org/10.1056/NEJMsa2414435</w:t>
        </w:r>
      </w:hyperlink>
      <w:r w:rsidRPr="00E16326">
        <w:rPr>
          <w:rFonts w:cs="Tahoma"/>
          <w:sz w:val="16"/>
          <w:szCs w:val="16"/>
        </w:rPr>
        <w:t>.</w:t>
      </w:r>
    </w:p>
  </w:endnote>
  <w:endnote w:id="30">
    <w:p w14:paraId="1A8D8A88"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In 2026, the federal poverty level is $1,330 per month. The Part B premium of $202.90 is over 15% of that amount. See U.S. Department of Health and Human Services, Office of the Assistant Secretary for Planning and Evaluation, “2026 Poverty Guidelines: 48 Contiguous States (All States except Alaska and Hawaii),” 2026, </w:t>
      </w:r>
      <w:hyperlink r:id="rId47" w:history="1">
        <w:r w:rsidRPr="00E16326">
          <w:rPr>
            <w:rStyle w:val="Hyperlink"/>
            <w:rFonts w:cs="Tahoma"/>
            <w:sz w:val="16"/>
            <w:szCs w:val="16"/>
          </w:rPr>
          <w:t>https://aspe.hhs.gov/sites/default/files/documents/b1bfa16b20ae9b89d525bc35de7c1643/detailed-guidelines-2026.pdf</w:t>
        </w:r>
      </w:hyperlink>
      <w:r w:rsidRPr="00E16326">
        <w:rPr>
          <w:rFonts w:cs="Tahoma"/>
          <w:sz w:val="16"/>
          <w:szCs w:val="16"/>
        </w:rPr>
        <w:t xml:space="preserve">; Centers for Medicare &amp; Medicaid Services (CMS), "2026 Medicare Parts A &amp; B Premiums and Deductibles,” Nov. 14, 2025, </w:t>
      </w:r>
      <w:hyperlink r:id="rId48" w:history="1">
        <w:r w:rsidRPr="00E16326">
          <w:rPr>
            <w:rStyle w:val="Hyperlink"/>
            <w:rFonts w:cs="Tahoma"/>
            <w:sz w:val="16"/>
            <w:szCs w:val="16"/>
          </w:rPr>
          <w:t>https://www.cms.gov/newsroom/fact-sheets/2026-medicare-parts-b-premiums-deductibles</w:t>
        </w:r>
      </w:hyperlink>
      <w:r w:rsidRPr="00E16326">
        <w:rPr>
          <w:rFonts w:cs="Tahoma"/>
          <w:sz w:val="16"/>
          <w:szCs w:val="16"/>
        </w:rPr>
        <w:t xml:space="preserve">. </w:t>
      </w:r>
    </w:p>
  </w:endnote>
  <w:endnote w:id="31">
    <w:p w14:paraId="43083B27"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In 2023, more than one in four Medicare beneficiaries indicated health expenses made it harder for them to afford food and utility bills in the past 12 months. Additionally, research suggests that expanding eligibility for Medicaid coverage of Medicare premiums and cost sharing could mitigate racial and economic disparities among low-income Medicare beneficiaries. See Gretchen Jacobson et al., “Can Medicare Beneficiaries Afford Their Health Care?,” October 2023, </w:t>
      </w:r>
      <w:hyperlink r:id="rId49" w:history="1">
        <w:r w:rsidRPr="00E16326">
          <w:rPr>
            <w:rStyle w:val="Hyperlink"/>
            <w:rFonts w:cs="Tahoma"/>
            <w:sz w:val="16"/>
            <w:szCs w:val="16"/>
          </w:rPr>
          <w:t>https://www.commonwealthfund.org/sites/default/files/2023-10/PDF_Jacobson_can_medicare_beneficiaries_afford_health_care_2023_survey_chartpack_final.pdf</w:t>
        </w:r>
      </w:hyperlink>
      <w:r w:rsidRPr="00E16326">
        <w:rPr>
          <w:rFonts w:cs="Tahoma"/>
          <w:sz w:val="16"/>
          <w:szCs w:val="16"/>
        </w:rPr>
        <w:t xml:space="preserve">; Eric T. Roberts et al., “Racial and Ethnic Disparities in Health Care Use and Access Associated With Loss of Medicaid Supplemental Insurance Eligibility Above the Federal Poverty Level,” </w:t>
      </w:r>
      <w:r w:rsidRPr="00E16326">
        <w:rPr>
          <w:rFonts w:cs="Tahoma"/>
          <w:i/>
          <w:iCs/>
          <w:sz w:val="16"/>
          <w:szCs w:val="16"/>
        </w:rPr>
        <w:t>JAMA Internal Medicine</w:t>
      </w:r>
      <w:r w:rsidRPr="00E16326">
        <w:rPr>
          <w:rFonts w:cs="Tahoma"/>
          <w:sz w:val="16"/>
          <w:szCs w:val="16"/>
        </w:rPr>
        <w:t xml:space="preserve"> 183, no. 6 (2023): 534-43, </w:t>
      </w:r>
      <w:hyperlink r:id="rId50" w:history="1">
        <w:r w:rsidRPr="00E16326">
          <w:rPr>
            <w:rStyle w:val="Hyperlink"/>
            <w:rFonts w:cs="Tahoma"/>
            <w:sz w:val="16"/>
            <w:szCs w:val="16"/>
          </w:rPr>
          <w:t>https://doi.org/10.1001/jamainternmed.2023.0512</w:t>
        </w:r>
      </w:hyperlink>
      <w:r w:rsidRPr="00E16326">
        <w:rPr>
          <w:rFonts w:cs="Tahoma"/>
          <w:sz w:val="16"/>
          <w:szCs w:val="16"/>
        </w:rPr>
        <w:t xml:space="preserve">. </w:t>
      </w:r>
    </w:p>
  </w:endnote>
  <w:endnote w:id="32">
    <w:p w14:paraId="2DD22667"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Amber Christ et al., </w:t>
      </w:r>
      <w:r w:rsidRPr="00E16326">
        <w:rPr>
          <w:rFonts w:cs="Tahoma"/>
          <w:i/>
          <w:iCs/>
          <w:sz w:val="16"/>
          <w:szCs w:val="16"/>
        </w:rPr>
        <w:t>Expanding Health Care Affordability for Older Adults and People with Disabilities: A Guide for State Medicaid Advocates</w:t>
      </w:r>
      <w:r w:rsidRPr="00E16326">
        <w:rPr>
          <w:rFonts w:cs="Tahoma"/>
          <w:sz w:val="16"/>
          <w:szCs w:val="16"/>
        </w:rPr>
        <w:t xml:space="preserve"> (Justice in Aging, 2022), 5-6, </w:t>
      </w:r>
      <w:hyperlink r:id="rId51" w:history="1">
        <w:r w:rsidRPr="00E16326">
          <w:rPr>
            <w:rStyle w:val="Hyperlink"/>
            <w:rFonts w:cs="Tahoma"/>
            <w:sz w:val="16"/>
            <w:szCs w:val="16"/>
          </w:rPr>
          <w:t>https://justiceinaging.org/wp-content/uploads/2022/03/Expanding-Health-Care-Affordability.pdf</w:t>
        </w:r>
      </w:hyperlink>
      <w:r w:rsidRPr="00E16326">
        <w:rPr>
          <w:rFonts w:cs="Tahoma"/>
          <w:sz w:val="16"/>
          <w:szCs w:val="16"/>
        </w:rPr>
        <w:t xml:space="preserve">; Kathleen Romig, et al., “The Case for Updating the SSI Asset Limits: Raising or Eliminating Limits Would Reduce Administrative Burdens Without Dramatically Increasing Enrollment,” Center on Budget and Policy Priorities, September 2023, 8, </w:t>
      </w:r>
      <w:hyperlink r:id="rId52" w:history="1">
        <w:r w:rsidRPr="00E16326">
          <w:rPr>
            <w:rStyle w:val="Hyperlink"/>
            <w:rFonts w:cs="Tahoma"/>
            <w:sz w:val="16"/>
            <w:szCs w:val="16"/>
          </w:rPr>
          <w:t>https://www.cbpp.org/sites/default/files/6-26-23socsec.pdf</w:t>
        </w:r>
      </w:hyperlink>
      <w:r w:rsidRPr="00E16326">
        <w:rPr>
          <w:rFonts w:cs="Tahoma"/>
          <w:sz w:val="16"/>
          <w:szCs w:val="16"/>
        </w:rPr>
        <w:t xml:space="preserve">. </w:t>
      </w:r>
    </w:p>
  </w:endnote>
  <w:endnote w:id="33">
    <w:p w14:paraId="72181216" w14:textId="012AE693"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w:t>
      </w:r>
      <w:r w:rsidRPr="00E16326">
        <w:rPr>
          <w:rFonts w:cs="Tahoma"/>
          <w:i/>
          <w:sz w:val="16"/>
          <w:szCs w:val="16"/>
          <w:lang w:val="en"/>
        </w:rPr>
        <w:t xml:space="preserve">Increasing the Rate of Ex </w:t>
      </w:r>
      <w:proofErr w:type="spellStart"/>
      <w:r w:rsidRPr="00E16326">
        <w:rPr>
          <w:rFonts w:cs="Tahoma"/>
          <w:i/>
          <w:sz w:val="16"/>
          <w:szCs w:val="16"/>
          <w:lang w:val="en"/>
        </w:rPr>
        <w:t>Parte</w:t>
      </w:r>
      <w:proofErr w:type="spellEnd"/>
      <w:r w:rsidRPr="00E16326">
        <w:rPr>
          <w:rFonts w:cs="Tahoma"/>
          <w:i/>
          <w:sz w:val="16"/>
          <w:szCs w:val="16"/>
          <w:lang w:val="en"/>
        </w:rPr>
        <w:t xml:space="preserve"> Renewals</w:t>
      </w:r>
      <w:r w:rsidRPr="00E16326">
        <w:rPr>
          <w:rFonts w:cs="Tahoma"/>
          <w:sz w:val="16"/>
          <w:szCs w:val="16"/>
        </w:rPr>
        <w:t xml:space="preserve">; Farah </w:t>
      </w:r>
      <w:proofErr w:type="spellStart"/>
      <w:r w:rsidRPr="00E16326">
        <w:rPr>
          <w:rFonts w:cs="Tahoma"/>
          <w:sz w:val="16"/>
          <w:szCs w:val="16"/>
        </w:rPr>
        <w:t>Erzouki</w:t>
      </w:r>
      <w:proofErr w:type="spellEnd"/>
      <w:r w:rsidRPr="00E16326">
        <w:rPr>
          <w:rFonts w:cs="Tahoma"/>
          <w:sz w:val="16"/>
          <w:szCs w:val="16"/>
        </w:rPr>
        <w:t xml:space="preserve"> and Jennifer Wagner, </w:t>
      </w:r>
      <w:r w:rsidRPr="00E16326">
        <w:rPr>
          <w:rFonts w:cs="Tahoma"/>
          <w:i/>
          <w:iCs/>
          <w:sz w:val="16"/>
          <w:szCs w:val="16"/>
        </w:rPr>
        <w:t>Using Asset Verification Systems to Streamline Medicaid Determinations</w:t>
      </w:r>
      <w:r w:rsidRPr="00E16326">
        <w:rPr>
          <w:rFonts w:cs="Tahoma"/>
          <w:sz w:val="16"/>
          <w:szCs w:val="16"/>
        </w:rPr>
        <w:t xml:space="preserve"> (Center on Budget and Policy Priorities, June 23, 2021), 5-6, https://www.cbpp.org/sites/default/files/6-23-21health.pdf</w:t>
      </w:r>
      <w:r w:rsidR="000F2036">
        <w:rPr>
          <w:rFonts w:cs="Tahoma"/>
          <w:sz w:val="16"/>
          <w:szCs w:val="16"/>
        </w:rPr>
        <w:t>;</w:t>
      </w:r>
      <w:r w:rsidRPr="00E16326">
        <w:rPr>
          <w:rFonts w:cs="Tahoma"/>
          <w:sz w:val="16"/>
          <w:szCs w:val="16"/>
        </w:rPr>
        <w:t xml:space="preserve"> </w:t>
      </w:r>
      <w:r w:rsidRPr="00E16326">
        <w:rPr>
          <w:rFonts w:cs="Tahoma"/>
          <w:i/>
          <w:iCs/>
          <w:sz w:val="16"/>
          <w:szCs w:val="16"/>
        </w:rPr>
        <w:t>State Compliance with Electronic Asset Verification Requirements</w:t>
      </w:r>
      <w:r w:rsidRPr="00E16326">
        <w:rPr>
          <w:rFonts w:cs="Tahoma"/>
          <w:sz w:val="16"/>
          <w:szCs w:val="16"/>
        </w:rPr>
        <w:t xml:space="preserve"> (</w:t>
      </w:r>
      <w:r w:rsidRPr="00E16326">
        <w:rPr>
          <w:rFonts w:cs="Tahoma"/>
          <w:sz w:val="16"/>
          <w:szCs w:val="16"/>
          <w:lang w:val="en"/>
        </w:rPr>
        <w:t>Medicaid and CHIP Payment and Access Commission (MACPAC)</w:t>
      </w:r>
      <w:r w:rsidRPr="00E16326">
        <w:rPr>
          <w:rFonts w:cs="Tahoma"/>
          <w:sz w:val="16"/>
          <w:szCs w:val="16"/>
        </w:rPr>
        <w:t xml:space="preserve">, 2020), </w:t>
      </w:r>
      <w:hyperlink r:id="rId53" w:history="1">
        <w:r w:rsidRPr="00E16326">
          <w:rPr>
            <w:rStyle w:val="Hyperlink"/>
            <w:rFonts w:cs="Tahoma"/>
            <w:sz w:val="16"/>
            <w:szCs w:val="16"/>
          </w:rPr>
          <w:t>https://www.macpac.gov/wp-content/uploads/2020/10/State-Compliance-with-Electronic-Asset-Verification-Requirements.pdf</w:t>
        </w:r>
      </w:hyperlink>
      <w:r w:rsidRPr="00E16326">
        <w:rPr>
          <w:rFonts w:cs="Tahoma"/>
          <w:sz w:val="16"/>
          <w:szCs w:val="16"/>
        </w:rPr>
        <w:t>; “Navigating the Medicare Savings Program (MSP) Eligibility Experience;”</w:t>
      </w:r>
      <w:r w:rsidRPr="00E16326">
        <w:rPr>
          <w:rFonts w:cs="Tahoma"/>
          <w:i/>
          <w:iCs/>
          <w:sz w:val="16"/>
          <w:szCs w:val="16"/>
          <w:lang w:val="en"/>
        </w:rPr>
        <w:t>Oliver et al.,</w:t>
      </w:r>
      <w:r w:rsidRPr="00E16326">
        <w:rPr>
          <w:rFonts w:cs="Tahoma"/>
          <w:i/>
          <w:sz w:val="16"/>
          <w:szCs w:val="16"/>
          <w:lang w:val="en"/>
        </w:rPr>
        <w:t xml:space="preserve"> Medicare Savings Programs: Most Who </w:t>
      </w:r>
      <w:r w:rsidRPr="00E16326">
        <w:rPr>
          <w:rFonts w:cs="Tahoma"/>
          <w:i/>
          <w:iCs/>
          <w:sz w:val="16"/>
          <w:szCs w:val="16"/>
          <w:lang w:val="en"/>
        </w:rPr>
        <w:t>Are</w:t>
      </w:r>
      <w:r w:rsidRPr="00E16326">
        <w:rPr>
          <w:rFonts w:cs="Tahoma"/>
          <w:i/>
          <w:sz w:val="16"/>
          <w:szCs w:val="16"/>
          <w:lang w:val="en"/>
        </w:rPr>
        <w:t xml:space="preserve"> Eligible Hold Few Assets.</w:t>
      </w:r>
    </w:p>
  </w:endnote>
  <w:endnote w:id="34">
    <w:p w14:paraId="207AB993"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“Chapter 1: Program Overview and Policy,” </w:t>
      </w:r>
      <w:r w:rsidRPr="00E16326">
        <w:rPr>
          <w:rFonts w:cs="Tahoma"/>
          <w:i/>
          <w:iCs/>
          <w:sz w:val="16"/>
          <w:szCs w:val="16"/>
        </w:rPr>
        <w:t>Manual for the State Payment of Medicare Premiums</w:t>
      </w:r>
      <w:r w:rsidRPr="00E16326">
        <w:rPr>
          <w:rFonts w:cs="Tahoma"/>
          <w:sz w:val="16"/>
          <w:szCs w:val="16"/>
        </w:rPr>
        <w:t xml:space="preserve">, Pub. 100-24, section 1.9, </w:t>
      </w:r>
      <w:hyperlink r:id="rId54" w:history="1">
        <w:r w:rsidRPr="00E16326">
          <w:rPr>
            <w:rStyle w:val="Hyperlink"/>
            <w:rFonts w:cs="Tahoma"/>
            <w:sz w:val="16"/>
            <w:szCs w:val="16"/>
          </w:rPr>
          <w:t>https://www.cms.gov/files/document/chapter-1-program-overview-and-policy.pdf</w:t>
        </w:r>
      </w:hyperlink>
      <w:r w:rsidRPr="00E16326">
        <w:rPr>
          <w:rFonts w:cs="Tahoma"/>
          <w:sz w:val="16"/>
          <w:szCs w:val="16"/>
        </w:rPr>
        <w:t xml:space="preserve">. </w:t>
      </w:r>
    </w:p>
  </w:endnote>
  <w:endnote w:id="35">
    <w:p w14:paraId="1F2DFF51" w14:textId="77777777" w:rsidR="00AE78F4" w:rsidRPr="00E16326" w:rsidRDefault="00AE78F4" w:rsidP="006E5E24">
      <w:pPr>
        <w:spacing w:after="0"/>
        <w:rPr>
          <w:rFonts w:cs="Tahoma"/>
          <w:sz w:val="16"/>
          <w:szCs w:val="16"/>
        </w:rPr>
      </w:pPr>
      <w:r w:rsidRPr="00E16326">
        <w:rPr>
          <w:rStyle w:val="EndnoteReference"/>
          <w:rFonts w:cs="Tahoma"/>
          <w:sz w:val="16"/>
          <w:szCs w:val="16"/>
        </w:rPr>
        <w:endnoteRef/>
      </w:r>
      <w:r w:rsidRPr="00E16326">
        <w:rPr>
          <w:rFonts w:cs="Tahoma"/>
          <w:sz w:val="16"/>
          <w:szCs w:val="16"/>
        </w:rPr>
        <w:t xml:space="preserve"> According to CMS, in 2025 about 60% of eligibility-related payment errors stemmed from insufficient documentation of eligibility. CMS, “2025 Medicaid &amp; CHIP Supplemental Improper Payment Data,” January 2026, </w:t>
      </w:r>
      <w:hyperlink r:id="rId55" w:history="1">
        <w:r w:rsidRPr="00E16326">
          <w:rPr>
            <w:rStyle w:val="Hyperlink"/>
            <w:rFonts w:cs="Tahoma"/>
            <w:kern w:val="2"/>
            <w:sz w:val="16"/>
            <w:szCs w:val="16"/>
            <w14:ligatures w14:val="standardContextual"/>
          </w:rPr>
          <w:t>https://www.cms.gov/files/document/2025-medicaid-chip-supplemental-improper-payment-data.p</w:t>
        </w:r>
        <w:bookmarkStart w:id="9" w:name="_Hlt226370375"/>
        <w:r w:rsidRPr="00E16326">
          <w:rPr>
            <w:rStyle w:val="Hyperlink"/>
            <w:rFonts w:cs="Tahoma"/>
            <w:kern w:val="2"/>
            <w:sz w:val="16"/>
            <w:szCs w:val="16"/>
            <w14:ligatures w14:val="standardContextual"/>
          </w:rPr>
          <w:t>d</w:t>
        </w:r>
        <w:bookmarkEnd w:id="9"/>
        <w:r w:rsidRPr="00E16326">
          <w:rPr>
            <w:rStyle w:val="Hyperlink"/>
            <w:rFonts w:cs="Tahoma"/>
            <w:kern w:val="2"/>
            <w:sz w:val="16"/>
            <w:szCs w:val="16"/>
            <w14:ligatures w14:val="standardContextual"/>
          </w:rPr>
          <w:t>f</w:t>
        </w:r>
      </w:hyperlink>
      <w:r w:rsidRPr="00E16326">
        <w:rPr>
          <w:rFonts w:cs="Tahoma"/>
          <w:sz w:val="16"/>
          <w:szCs w:val="16"/>
        </w:rPr>
        <w:t>.</w:t>
      </w:r>
    </w:p>
  </w:endnote>
  <w:endnote w:id="36">
    <w:p w14:paraId="42A881C5"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w:t>
      </w:r>
      <w:r w:rsidRPr="00E16326">
        <w:rPr>
          <w:rFonts w:cs="Tahoma"/>
          <w:i/>
          <w:iCs/>
          <w:sz w:val="16"/>
          <w:szCs w:val="16"/>
        </w:rPr>
        <w:t>Working Families ‘Tax Cut’ Legislation, Public Law 119-21: Summary of Medicaid and Children’s Health Insurance Program (CHIP) Related Provisions</w:t>
      </w:r>
      <w:r w:rsidRPr="00E16326">
        <w:rPr>
          <w:rFonts w:cs="Tahoma"/>
          <w:sz w:val="16"/>
          <w:szCs w:val="16"/>
        </w:rPr>
        <w:t xml:space="preserve">, CMCS Informational Bulletin, November 18, 2025, 7, </w:t>
      </w:r>
      <w:hyperlink r:id="rId56" w:history="1">
        <w:r w:rsidRPr="00E16326">
          <w:rPr>
            <w:rStyle w:val="Hyperlink"/>
            <w:rFonts w:cs="Tahoma"/>
            <w:sz w:val="16"/>
            <w:szCs w:val="16"/>
          </w:rPr>
          <w:t>https://www.medicaid.gov/federal-policy-guidance/downloads/cib11182025.pdf</w:t>
        </w:r>
      </w:hyperlink>
      <w:r w:rsidRPr="00E16326">
        <w:rPr>
          <w:rFonts w:cs="Tahoma"/>
          <w:sz w:val="16"/>
          <w:szCs w:val="16"/>
        </w:rPr>
        <w:t>.</w:t>
      </w:r>
    </w:p>
  </w:endnote>
  <w:endnote w:id="37">
    <w:p w14:paraId="55873702" w14:textId="77777777" w:rsidR="00AE78F4" w:rsidRPr="00E16326" w:rsidRDefault="00AE78F4" w:rsidP="006E5E24">
      <w:pPr>
        <w:spacing w:after="0"/>
        <w:rPr>
          <w:rFonts w:cs="Tahoma"/>
          <w:sz w:val="16"/>
          <w:szCs w:val="16"/>
        </w:rPr>
      </w:pPr>
      <w:r w:rsidRPr="00DD61C5">
        <w:rPr>
          <w:rStyle w:val="EndnoteChar"/>
          <w:vertAlign w:val="superscript"/>
        </w:rPr>
        <w:endnoteRef/>
      </w:r>
      <w:r w:rsidRPr="00E16326">
        <w:rPr>
          <w:rStyle w:val="EndnoteChar"/>
        </w:rPr>
        <w:t xml:space="preserve"> New research found that loss of Medicaid after Medicare eligibility leads to worse health, increased mortality, higher out-of-pocket expenses, and less use of preventive care compared to those who retained Medicaid or regained it after a temporary loss. Maryssa Pallis et al., “Long-Term Changes in Health Care Use and Outcomes Among Groups Maintaining Versus Losing Medicaid Upon Medicare Enrollment,” Milbank Quarterly, 104, no. 2 (February 27, 2026): 7-15,</w:t>
      </w:r>
      <w:r w:rsidRPr="00E16326">
        <w:rPr>
          <w:rFonts w:cs="Tahoma"/>
          <w:color w:val="000000"/>
          <w:sz w:val="16"/>
          <w:szCs w:val="16"/>
        </w:rPr>
        <w:t xml:space="preserve"> </w:t>
      </w:r>
      <w:hyperlink r:id="rId57" w:history="1">
        <w:r w:rsidRPr="00E16326">
          <w:rPr>
            <w:rStyle w:val="Hyperlink"/>
            <w:rFonts w:cs="Tahoma"/>
            <w:kern w:val="2"/>
            <w:sz w:val="16"/>
            <w:szCs w:val="16"/>
            <w14:ligatures w14:val="standardContextual"/>
          </w:rPr>
          <w:t>https://doi.org/10.1111/1468-0009.70076</w:t>
        </w:r>
      </w:hyperlink>
      <w:r w:rsidRPr="00E16326">
        <w:rPr>
          <w:rFonts w:cs="Tahoma"/>
          <w:color w:val="000000"/>
          <w:sz w:val="16"/>
          <w:szCs w:val="16"/>
        </w:rPr>
        <w:t xml:space="preserve">. </w:t>
      </w:r>
      <w:r w:rsidRPr="00E16326">
        <w:rPr>
          <w:rFonts w:cs="Tahoma"/>
          <w:sz w:val="16"/>
          <w:szCs w:val="16"/>
        </w:rPr>
        <w:t xml:space="preserve">See also, Silberman et al., </w:t>
      </w:r>
      <w:r w:rsidRPr="00E16326">
        <w:rPr>
          <w:rFonts w:cs="Tahoma"/>
          <w:i/>
          <w:iCs/>
          <w:sz w:val="16"/>
          <w:szCs w:val="16"/>
        </w:rPr>
        <w:t>Standing Back from the Cliff.</w:t>
      </w:r>
    </w:p>
  </w:endnote>
  <w:endnote w:id="38">
    <w:p w14:paraId="52A35A4B"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Michael Perry, Susan Kannel, and Adrianne Dulio, “Barriers to Medicaid Enrollment for Low-Income Seniors: Focus Group Findings.” (The Kaiser Commission on Medicaid and the Uninsured, 2002), 18-19, </w:t>
      </w:r>
      <w:hyperlink r:id="rId58" w:history="1">
        <w:r w:rsidRPr="00E16326">
          <w:rPr>
            <w:rStyle w:val="Hyperlink"/>
            <w:rFonts w:cs="Tahoma"/>
            <w:sz w:val="16"/>
            <w:szCs w:val="16"/>
          </w:rPr>
          <w:t>https://files.kff.org/attachment/Barriers-to-Medicaid-Enrollment-for-Seniors-Findings-from-10-Focus-Groups-with-Low-Income-Seniors-Report</w:t>
        </w:r>
      </w:hyperlink>
      <w:r w:rsidRPr="00E16326">
        <w:rPr>
          <w:rFonts w:cs="Tahoma"/>
          <w:sz w:val="16"/>
          <w:szCs w:val="16"/>
        </w:rPr>
        <w:t xml:space="preserve">. </w:t>
      </w:r>
    </w:p>
  </w:endnote>
  <w:endnote w:id="39">
    <w:p w14:paraId="5FCBDD04"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Karen Pollitz et al., “KFF Survey of Consumer Experiences with Health Insurance,” </w:t>
      </w:r>
      <w:r w:rsidRPr="00E16326">
        <w:rPr>
          <w:rFonts w:cs="Tahoma"/>
          <w:i/>
          <w:iCs/>
          <w:sz w:val="16"/>
          <w:szCs w:val="16"/>
        </w:rPr>
        <w:t>KFF</w:t>
      </w:r>
      <w:r w:rsidRPr="00E16326">
        <w:rPr>
          <w:rFonts w:cs="Tahoma"/>
          <w:sz w:val="16"/>
          <w:szCs w:val="16"/>
        </w:rPr>
        <w:t xml:space="preserve">, June 15, 2023, </w:t>
      </w:r>
      <w:hyperlink r:id="rId59" w:history="1">
        <w:r w:rsidRPr="00E16326">
          <w:rPr>
            <w:rStyle w:val="Hyperlink"/>
            <w:rFonts w:cs="Tahoma"/>
            <w:sz w:val="16"/>
            <w:szCs w:val="16"/>
          </w:rPr>
          <w:t>https://www.kff.org/affordable-care-act/kff-survey-of-consumer-experiences-with-health-insurance</w:t>
        </w:r>
      </w:hyperlink>
      <w:r w:rsidRPr="00E16326">
        <w:rPr>
          <w:rFonts w:cs="Tahoma"/>
          <w:sz w:val="16"/>
          <w:szCs w:val="16"/>
        </w:rPr>
        <w:t>.</w:t>
      </w:r>
    </w:p>
  </w:endnote>
  <w:endnote w:id="40">
    <w:p w14:paraId="2AEAC044" w14:textId="77777777" w:rsidR="00AE78F4" w:rsidRPr="00E16326"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Sarah Murdoch et al., </w:t>
      </w:r>
      <w:r w:rsidRPr="00E16326">
        <w:rPr>
          <w:rFonts w:cs="Tahoma"/>
          <w:i/>
          <w:iCs/>
          <w:sz w:val="16"/>
          <w:szCs w:val="16"/>
        </w:rPr>
        <w:t>Medicare Trends and Recommendations</w:t>
      </w:r>
      <w:r w:rsidRPr="00E16326">
        <w:rPr>
          <w:rFonts w:cs="Tahoma"/>
          <w:sz w:val="16"/>
          <w:szCs w:val="16"/>
        </w:rPr>
        <w:t xml:space="preserve"> (Medicare Rights Center, 2025), </w:t>
      </w:r>
      <w:hyperlink r:id="rId60" w:history="1">
        <w:r w:rsidRPr="00E16326">
          <w:rPr>
            <w:rStyle w:val="Hyperlink"/>
            <w:rFonts w:cs="Tahoma"/>
            <w:sz w:val="16"/>
            <w:szCs w:val="16"/>
          </w:rPr>
          <w:t>https://www.medicarerights.org/pdf/2023-helpline-trends-report.pdf</w:t>
        </w:r>
      </w:hyperlink>
      <w:r w:rsidRPr="00E16326">
        <w:rPr>
          <w:rFonts w:cs="Tahoma"/>
          <w:sz w:val="16"/>
          <w:szCs w:val="16"/>
        </w:rPr>
        <w:t>.</w:t>
      </w:r>
    </w:p>
  </w:endnote>
  <w:endnote w:id="41">
    <w:p w14:paraId="0ADEB411" w14:textId="77777777" w:rsidR="00AE78F4" w:rsidRDefault="00AE78F4"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Juliette Cubanski et al., “Overall Satisfaction with Medicare Is High, But Beneficiaries Under Age 65 With Disabilities Experience More Insurance Problems Than Older Beneficiaries,” </w:t>
      </w:r>
      <w:r w:rsidRPr="00E16326">
        <w:rPr>
          <w:rFonts w:cs="Tahoma"/>
          <w:i/>
          <w:iCs/>
          <w:sz w:val="16"/>
          <w:szCs w:val="16"/>
        </w:rPr>
        <w:t>KFF</w:t>
      </w:r>
      <w:r w:rsidRPr="00E16326">
        <w:rPr>
          <w:rFonts w:cs="Tahoma"/>
          <w:sz w:val="16"/>
          <w:szCs w:val="16"/>
        </w:rPr>
        <w:t xml:space="preserve">, October 26, 2023, </w:t>
      </w:r>
      <w:hyperlink r:id="rId61" w:history="1">
        <w:r w:rsidRPr="00E16326">
          <w:rPr>
            <w:rStyle w:val="Hyperlink"/>
            <w:rFonts w:cs="Tahoma"/>
            <w:sz w:val="16"/>
            <w:szCs w:val="16"/>
          </w:rPr>
          <w:t>https://www.kff.org/medicare/overall-satisfaction-with-medicare-is-high-but-beneficiaries-under-age-65-with-disabilities-experience-more-insurance-problems-than-older-beneficiaries</w:t>
        </w:r>
      </w:hyperlink>
      <w:r w:rsidRPr="00E16326">
        <w:rPr>
          <w:rFonts w:cs="Tahoma"/>
          <w:sz w:val="16"/>
          <w:szCs w:val="16"/>
        </w:rPr>
        <w:t>.</w:t>
      </w:r>
    </w:p>
    <w:p w14:paraId="08825AD7" w14:textId="77777777" w:rsidR="004A0CAA" w:rsidRDefault="004A0CAA" w:rsidP="006E5E24">
      <w:pPr>
        <w:pStyle w:val="EndnoteText"/>
        <w:rPr>
          <w:rFonts w:cs="Tahoma"/>
          <w:sz w:val="16"/>
          <w:szCs w:val="16"/>
        </w:rPr>
      </w:pPr>
    </w:p>
    <w:p w14:paraId="6F1C2F58" w14:textId="77777777" w:rsidR="00A15597" w:rsidRDefault="00A15597" w:rsidP="006E5E24">
      <w:pPr>
        <w:pStyle w:val="EndnoteText"/>
        <w:rPr>
          <w:rFonts w:cs="Tahoma"/>
          <w:sz w:val="16"/>
          <w:szCs w:val="16"/>
        </w:rPr>
      </w:pPr>
    </w:p>
    <w:p w14:paraId="6C3BF3F1" w14:textId="5512C1EA" w:rsidR="00AE78F4" w:rsidRPr="006E5E24" w:rsidRDefault="00A15597" w:rsidP="006E5E24">
      <w:pPr>
        <w:pStyle w:val="EndnoteText"/>
        <w:rPr>
          <w:rFonts w:cs="Tahoma"/>
          <w:sz w:val="16"/>
          <w:szCs w:val="16"/>
        </w:rPr>
      </w:pPr>
      <w:r>
        <w:rPr>
          <w:rFonts w:cs="Tahoma"/>
          <w:sz w:val="16"/>
          <w:szCs w:val="16"/>
        </w:rPr>
        <w:t>________________________________</w:t>
      </w:r>
    </w:p>
  </w:endnote>
  <w:endnote w:id="42">
    <w:p w14:paraId="14F52EB9" w14:textId="77777777" w:rsidR="00AE78F4" w:rsidRPr="006E5E24"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“MMCO Statistical &amp; Analytic Reports | CMS,” March 4, 2026, </w:t>
      </w:r>
      <w:hyperlink r:id="rId62">
        <w:r w:rsidRPr="006E5E24">
          <w:rPr>
            <w:rStyle w:val="Hyperlink"/>
            <w:rFonts w:cs="Tahoma"/>
            <w:sz w:val="16"/>
            <w:szCs w:val="16"/>
          </w:rPr>
          <w:t>https://www.cms.gov/data-research/research/statistical-resources-dually-eligible-beneficiaries/mmco-statistical-analytic-reports</w:t>
        </w:r>
      </w:hyperlink>
      <w:r w:rsidRPr="006E5E24">
        <w:rPr>
          <w:rFonts w:cs="Tahoma"/>
          <w:sz w:val="16"/>
          <w:szCs w:val="16"/>
        </w:rPr>
        <w:t>.</w:t>
      </w:r>
    </w:p>
  </w:endnote>
  <w:endnote w:id="43">
    <w:p w14:paraId="1D0E23BC" w14:textId="77777777" w:rsidR="00AE78F4" w:rsidRPr="006E5E24" w:rsidRDefault="00AE78F4" w:rsidP="006E5E24">
      <w:pPr>
        <w:pStyle w:val="EndnoteText"/>
        <w:rPr>
          <w:rFonts w:cs="Tahoma"/>
          <w:sz w:val="16"/>
          <w:szCs w:val="16"/>
          <w:highlight w:val="yellow"/>
        </w:rPr>
      </w:pPr>
      <w:r w:rsidRPr="006E5E24">
        <w:rPr>
          <w:rStyle w:val="EndnoteReference"/>
          <w:rFonts w:cs="Tahoma"/>
          <w:sz w:val="16"/>
          <w:szCs w:val="16"/>
        </w:rPr>
        <w:endnoteRef/>
      </w:r>
      <w:r w:rsidRPr="006E5E24">
        <w:rPr>
          <w:rFonts w:cs="Tahoma"/>
          <w:sz w:val="16"/>
          <w:szCs w:val="16"/>
        </w:rPr>
        <w:t xml:space="preserve"> </w:t>
      </w:r>
      <w:r w:rsidRPr="006E5E24">
        <w:rPr>
          <w:rFonts w:eastAsia="Aptos" w:cs="Tahoma"/>
          <w:sz w:val="16"/>
          <w:szCs w:val="16"/>
        </w:rPr>
        <w:t xml:space="preserve">Tobey Oliver et al., </w:t>
      </w:r>
      <w:r w:rsidRPr="006E5E24">
        <w:rPr>
          <w:rFonts w:eastAsia="Aptos" w:cs="Tahoma"/>
          <w:i/>
          <w:sz w:val="16"/>
          <w:szCs w:val="16"/>
        </w:rPr>
        <w:t>Medicare Savings Program Enrollment Increases When States Expand Financial Eligibility Criteria</w:t>
      </w:r>
      <w:r w:rsidRPr="006E5E24">
        <w:rPr>
          <w:rFonts w:eastAsia="Aptos" w:cs="Tahoma"/>
          <w:sz w:val="16"/>
          <w:szCs w:val="16"/>
        </w:rPr>
        <w:t xml:space="preserve"> (AARP Public Policy Institute, 2023), </w:t>
      </w:r>
      <w:hyperlink r:id="rId63" w:history="1">
        <w:r w:rsidRPr="006E5E24">
          <w:rPr>
            <w:rStyle w:val="Hyperlink"/>
            <w:rFonts w:cs="Tahoma"/>
            <w:sz w:val="16"/>
            <w:szCs w:val="16"/>
          </w:rPr>
          <w:t>https://www.aarp.org/content/dam/aarp/ppi/topics/health/coverage-access/medicare-savings-program-enrollment-increases.doi.10.26419-2Fppi.00210.001.pdf</w:t>
        </w:r>
      </w:hyperlink>
      <w:r w:rsidRPr="006E5E24">
        <w:rPr>
          <w:rFonts w:eastAsia="Aptos" w:cs="Tahoma"/>
          <w:sz w:val="16"/>
          <w:szCs w:val="16"/>
        </w:rPr>
        <w:t>.</w:t>
      </w:r>
    </w:p>
  </w:endnote>
  <w:endnote w:id="44">
    <w:p w14:paraId="427DA370" w14:textId="77777777" w:rsidR="00AE78F4" w:rsidRPr="006E5E24" w:rsidRDefault="00AE78F4" w:rsidP="006E5E24">
      <w:pPr>
        <w:spacing w:after="0"/>
        <w:rPr>
          <w:rFonts w:cs="Tahoma"/>
          <w:sz w:val="16"/>
          <w:szCs w:val="16"/>
          <w:highlight w:val="yellow"/>
        </w:rPr>
      </w:pPr>
      <w:r w:rsidRPr="006E5E24">
        <w:rPr>
          <w:rStyle w:val="EndnoteReference"/>
          <w:rFonts w:cs="Tahoma"/>
          <w:sz w:val="16"/>
          <w:szCs w:val="16"/>
        </w:rPr>
        <w:endnoteRef/>
      </w:r>
      <w:r w:rsidRPr="006E5E24">
        <w:rPr>
          <w:rFonts w:cs="Tahoma"/>
          <w:sz w:val="16"/>
          <w:szCs w:val="16"/>
        </w:rPr>
        <w:t xml:space="preserve"> The federal government has estimated that creating a new MSP-only application process would cost each state about $12,300 in state funds. “CMS-10891, Medicaid Program; Medicare Savings Program Application and Eligibility Determinations,” CMS.gov, November 27, 2024, </w:t>
      </w:r>
      <w:hyperlink r:id="rId64" w:history="1">
        <w:r w:rsidRPr="006E5E24">
          <w:rPr>
            <w:rStyle w:val="Hyperlink"/>
            <w:rFonts w:cs="Tahoma"/>
            <w:sz w:val="16"/>
            <w:szCs w:val="16"/>
          </w:rPr>
          <w:t>https://www.cms.gov/medicare/regulations-guidance/legislation/paperwork-reduction-act-1995/pra-listing/cms-10891</w:t>
        </w:r>
        <w:r w:rsidRPr="006E5E24">
          <w:rPr>
            <w:rFonts w:cs="Tahoma"/>
            <w:sz w:val="16"/>
            <w:szCs w:val="16"/>
          </w:rPr>
          <w:t>.</w:t>
        </w:r>
      </w:hyperlink>
    </w:p>
  </w:endnote>
  <w:endnote w:id="45">
    <w:p w14:paraId="68F3C5BE" w14:textId="77777777" w:rsidR="00AE78F4" w:rsidRPr="006E5E24"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We examined federal estimates of state burden for other one-time Medicaid eligibility changes that include similar tasks as would be necessary to implement this model legislation (e.g., updating state policy documents, revising application forms, and modifying eligibility systems). Two recent examples estimated one-time state costs (i.e., not including any federal match) of less than $20,000. Even if one-time costs </w:t>
      </w:r>
      <w:proofErr w:type="gramStart"/>
      <w:r w:rsidRPr="006E5E24">
        <w:rPr>
          <w:rFonts w:cs="Tahoma"/>
          <w:sz w:val="16"/>
          <w:szCs w:val="16"/>
        </w:rPr>
        <w:t>in a given</w:t>
      </w:r>
      <w:proofErr w:type="gramEnd"/>
      <w:r w:rsidRPr="006E5E24">
        <w:rPr>
          <w:rFonts w:cs="Tahoma"/>
          <w:sz w:val="16"/>
          <w:szCs w:val="16"/>
        </w:rPr>
        <w:t xml:space="preserve"> state are multiple times higher than this federal estimate, the one-time cost in a typical state would still be far less than the labor savings associated with removing the asset test.</w:t>
      </w:r>
    </w:p>
  </w:endnote>
  <w:endnote w:id="46">
    <w:p w14:paraId="6AF603DB" w14:textId="77777777" w:rsidR="00AE78F4" w:rsidRPr="006E5E24" w:rsidRDefault="00AE78F4"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CMS.gov, “CMS-10891, Medicaid Program; Medicare Savings Program Application and Eligibility Determinations.”</w:t>
      </w:r>
    </w:p>
  </w:endnote>
  <w:endnote w:id="47">
    <w:p w14:paraId="7AFECFBB" w14:textId="77777777" w:rsidR="00AE78F4" w:rsidRPr="006E5E24" w:rsidRDefault="00AE78F4"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This is hypothetical, but it’s around the state average, considering the national MSP beneficiary count (about 10 million) over 51 states plus DC. </w:t>
      </w:r>
    </w:p>
  </w:endnote>
  <w:endnote w:id="48">
    <w:p w14:paraId="1C743DC9" w14:textId="77777777" w:rsidR="00AE78F4" w:rsidRPr="006E5E24" w:rsidRDefault="00AE78F4"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CMS.gov, “CMS-10891, Medicaid Program; Medicare Savings Program Application and Eligibility Determinations.”</w:t>
      </w:r>
    </w:p>
  </w:endnote>
  <w:endnote w:id="49">
    <w:p w14:paraId="678D5FE3" w14:textId="35A472EA" w:rsidR="006A2EF4" w:rsidRPr="006E5E24" w:rsidRDefault="00AE78F4"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CMS.gov, “CMS-10891, Medicaid Program; Medicare Savings Program Application and Eligibility Determinations.”</w:t>
      </w:r>
    </w:p>
  </w:endnote>
  <w:endnote w:id="50">
    <w:p w14:paraId="5517097C" w14:textId="77777777" w:rsidR="005E7606" w:rsidRPr="006E5E24" w:rsidRDefault="005E7606" w:rsidP="006E5E24">
      <w:pPr>
        <w:pStyle w:val="EndnoteText"/>
        <w:rPr>
          <w:rFonts w:cs="Tahoma"/>
          <w:sz w:val="16"/>
          <w:szCs w:val="16"/>
        </w:rPr>
      </w:pPr>
      <w:r w:rsidRPr="006E5E24">
        <w:rPr>
          <w:rFonts w:cs="Tahoma"/>
          <w:b/>
          <w:sz w:val="16"/>
          <w:szCs w:val="16"/>
        </w:rPr>
        <w:t>Explanatory notes and citations</w:t>
      </w:r>
      <w:r w:rsidRPr="006E5E24">
        <w:rPr>
          <w:rStyle w:val="EndnoteReference"/>
          <w:rFonts w:cs="Tahoma"/>
          <w:sz w:val="16"/>
          <w:szCs w:val="16"/>
        </w:rPr>
        <w:t xml:space="preserve"> </w:t>
      </w:r>
    </w:p>
    <w:p w14:paraId="6FD3B84E"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Susan L. Hayes et al., “Moving from Medicaid Expansion Coverage to Medicare Can Be a Burdensome Transition: A Qualitative Study,” </w:t>
      </w:r>
      <w:r w:rsidRPr="006E5E24">
        <w:rPr>
          <w:rFonts w:cs="Tahoma"/>
          <w:i/>
          <w:iCs/>
          <w:sz w:val="16"/>
          <w:szCs w:val="16"/>
        </w:rPr>
        <w:t>Journal of General Internal Medicine</w:t>
      </w:r>
      <w:r w:rsidRPr="006E5E24">
        <w:rPr>
          <w:rFonts w:cs="Tahoma"/>
          <w:sz w:val="16"/>
          <w:szCs w:val="16"/>
        </w:rPr>
        <w:t xml:space="preserve">, September 2, 2025, </w:t>
      </w:r>
      <w:hyperlink r:id="rId65" w:history="1">
        <w:r w:rsidRPr="006E5E24">
          <w:rPr>
            <w:rStyle w:val="Hyperlink"/>
            <w:rFonts w:cs="Tahoma"/>
            <w:sz w:val="16"/>
            <w:szCs w:val="16"/>
          </w:rPr>
          <w:t>https://doi.org/10.1007/s11606-025-09789-9</w:t>
        </w:r>
      </w:hyperlink>
      <w:r w:rsidRPr="006E5E24">
        <w:rPr>
          <w:rFonts w:cs="Tahoma"/>
          <w:sz w:val="16"/>
          <w:szCs w:val="16"/>
        </w:rPr>
        <w:t>.</w:t>
      </w:r>
    </w:p>
  </w:endnote>
  <w:endnote w:id="51">
    <w:p w14:paraId="28527582"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SSI income methodologies are used to determine income eligibility for the MSPs, but states can apply less restrictive resources under section 1902(r)(2) of the Social Security Act. See Centers for Medicare &amp; Medicaid Services (CMS), “Implementation Guide: Medicaid State Plan Eligibility. Eligibility Groups - Mandatory Coverage Qualified Medicare Beneficiaries,” Medicaid.gov, n.d., </w:t>
      </w:r>
      <w:hyperlink r:id="rId66">
        <w:r w:rsidRPr="006E5E24">
          <w:rPr>
            <w:rStyle w:val="Hyperlink"/>
            <w:rFonts w:cs="Tahoma"/>
            <w:sz w:val="16"/>
            <w:szCs w:val="16"/>
          </w:rPr>
          <w:t>https://www.medicaid.gov/resources-for-states/downloads/macpro-ig-qualified-medicare-beneficiaries.pdf</w:t>
        </w:r>
      </w:hyperlink>
      <w:r w:rsidRPr="006E5E24">
        <w:rPr>
          <w:rFonts w:cs="Tahoma"/>
          <w:sz w:val="16"/>
          <w:szCs w:val="16"/>
        </w:rPr>
        <w:t xml:space="preserve">; CMS, “Implementation Guide: Medicaid State Plan Eligibility. Eligibility Groups - Mandatory Coverage Qualifying Individuals,” Medicaid.gov, n.d., </w:t>
      </w:r>
      <w:hyperlink r:id="rId67" w:history="1">
        <w:r w:rsidRPr="006E5E24">
          <w:rPr>
            <w:rStyle w:val="Hyperlink"/>
            <w:rFonts w:cs="Tahoma"/>
            <w:sz w:val="16"/>
            <w:szCs w:val="16"/>
          </w:rPr>
          <w:t>https://www.medicaid.gov/resources-for-states/downloads/macpro-ig-qualifying-individuals.pdf</w:t>
        </w:r>
      </w:hyperlink>
      <w:r w:rsidRPr="006E5E24">
        <w:rPr>
          <w:rFonts w:cs="Tahoma"/>
          <w:sz w:val="16"/>
          <w:szCs w:val="16"/>
        </w:rPr>
        <w:t xml:space="preserve">. </w:t>
      </w:r>
    </w:p>
  </w:endnote>
  <w:endnote w:id="52">
    <w:p w14:paraId="3A01F7A6"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New York has increased QMB to 138% and QI to 186% and eliminated SLMB. Sbrana, Lisa. “Changes to Medicare Savings Program (MSP) Income Levels.” Office of Health Insurance Programs, December 5, 2022. </w:t>
      </w:r>
      <w:hyperlink r:id="rId68" w:history="1">
        <w:r w:rsidRPr="006E5E24">
          <w:rPr>
            <w:rStyle w:val="Hyperlink"/>
            <w:rFonts w:cs="Tahoma"/>
            <w:sz w:val="16"/>
            <w:szCs w:val="16"/>
          </w:rPr>
          <w:t>https://www.health.ny.gov/health_care/medicaid/publications/docs/gis/22ma10.pdf</w:t>
        </w:r>
      </w:hyperlink>
      <w:r w:rsidRPr="006E5E24">
        <w:rPr>
          <w:rFonts w:cs="Tahoma"/>
          <w:sz w:val="16"/>
          <w:szCs w:val="16"/>
        </w:rPr>
        <w:t>.</w:t>
      </w:r>
    </w:p>
  </w:endnote>
  <w:endnote w:id="53">
    <w:p w14:paraId="7886810E" w14:textId="77777777" w:rsidR="005E7606" w:rsidRPr="006E5E24" w:rsidRDefault="005E7606" w:rsidP="006E5E24">
      <w:pPr>
        <w:pStyle w:val="EndnoteText"/>
        <w:rPr>
          <w:rFonts w:cs="Tahoma"/>
          <w:b/>
          <w:bCs/>
          <w:sz w:val="16"/>
          <w:szCs w:val="16"/>
        </w:rPr>
      </w:pPr>
      <w:r w:rsidRPr="006E5E24">
        <w:rPr>
          <w:rStyle w:val="EndnoteReference"/>
          <w:rFonts w:cs="Tahoma"/>
          <w:sz w:val="16"/>
          <w:szCs w:val="16"/>
        </w:rPr>
        <w:endnoteRef/>
      </w:r>
      <w:r w:rsidRPr="006E5E24">
        <w:rPr>
          <w:rFonts w:cs="Tahoma"/>
          <w:sz w:val="16"/>
          <w:szCs w:val="16"/>
        </w:rPr>
        <w:t xml:space="preserve"> Connecticut has increased QMB to 211%, SLMB to 231%, and QI to 246%. </w:t>
      </w:r>
      <w:r w:rsidRPr="006E5E24">
        <w:rPr>
          <w:rFonts w:cs="Tahoma"/>
          <w:sz w:val="16"/>
          <w:szCs w:val="16"/>
          <w:lang w:val="en"/>
        </w:rPr>
        <w:t>Conn. Gen. Stat. § 17b-256f (2024).</w:t>
      </w:r>
    </w:p>
  </w:endnote>
  <w:endnote w:id="54">
    <w:p w14:paraId="5B11E98D"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Indiana has increased QMB to 150%, SLMB to 170%, and QI to 185%. </w:t>
      </w:r>
      <w:r w:rsidRPr="006E5E24">
        <w:rPr>
          <w:rFonts w:cs="Tahoma"/>
          <w:sz w:val="16"/>
          <w:szCs w:val="16"/>
          <w:lang w:val="en"/>
        </w:rPr>
        <w:t xml:space="preserve">Indiana Family and Social Services Administration, </w:t>
      </w:r>
      <w:r w:rsidRPr="006E5E24">
        <w:rPr>
          <w:rFonts w:cs="Tahoma"/>
          <w:i/>
          <w:iCs/>
          <w:sz w:val="16"/>
          <w:szCs w:val="16"/>
          <w:lang w:val="en"/>
        </w:rPr>
        <w:t>Indiana Health Coverage Program Policy Manual</w:t>
      </w:r>
      <w:r w:rsidRPr="006E5E24">
        <w:rPr>
          <w:rFonts w:cs="Tahoma"/>
          <w:sz w:val="16"/>
          <w:szCs w:val="16"/>
          <w:lang w:val="en"/>
        </w:rPr>
        <w:t xml:space="preserve">, section 1610.45.10, </w:t>
      </w:r>
      <w:hyperlink r:id="rId69" w:history="1">
        <w:r w:rsidRPr="006E5E24">
          <w:rPr>
            <w:rStyle w:val="Hyperlink"/>
            <w:rFonts w:cs="Tahoma"/>
            <w:sz w:val="16"/>
            <w:szCs w:val="16"/>
            <w:lang w:val="en"/>
          </w:rPr>
          <w:t>https://www.in.gov/fssa/ompp/files/Medicaid_PM_1600.pdf</w:t>
        </w:r>
      </w:hyperlink>
      <w:r w:rsidRPr="006E5E24">
        <w:rPr>
          <w:rFonts w:cs="Tahoma"/>
          <w:sz w:val="16"/>
          <w:szCs w:val="16"/>
        </w:rPr>
        <w:t>.</w:t>
      </w:r>
    </w:p>
  </w:endnote>
  <w:endnote w:id="55">
    <w:p w14:paraId="59399C9D"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Maine has increased QMB to 185% and QI to 250% and eliminated SLMB. 10 ME Code Rules § 144-332-8-4.</w:t>
      </w:r>
    </w:p>
  </w:endnote>
  <w:endnote w:id="56">
    <w:p w14:paraId="123A1D70"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Massachusetts has increased QMB to 190%, SLMB to 210%, and QI to 225%. Rossi, Heather. “Medicare Savings (Buy-in) Programs.” Commonwealth of Massachusetts, Office of Medicaid, February 2023. </w:t>
      </w:r>
      <w:hyperlink r:id="rId70" w:history="1">
        <w:r w:rsidRPr="006E5E24">
          <w:rPr>
            <w:rStyle w:val="Hyperlink"/>
            <w:rFonts w:cs="Tahoma"/>
            <w:sz w:val="16"/>
            <w:szCs w:val="16"/>
          </w:rPr>
          <w:t>https://www.mass.gov/doc/eom-23-04-medicare-savings-buy-in-programs-0/download</w:t>
        </w:r>
      </w:hyperlink>
      <w:r w:rsidRPr="006E5E24">
        <w:rPr>
          <w:rFonts w:cs="Tahoma"/>
          <w:sz w:val="16"/>
          <w:szCs w:val="16"/>
        </w:rPr>
        <w:t>.</w:t>
      </w:r>
    </w:p>
  </w:endnote>
  <w:endnote w:id="57">
    <w:p w14:paraId="5A880277"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Vermont has increased QMB to 150% and QI to 202% and eliminated SLMB. Agency of Human Services, Department of Vermont Health Access. “Medicare Savings Program.” 2026. </w:t>
      </w:r>
      <w:hyperlink r:id="rId71" w:history="1">
        <w:r w:rsidRPr="006E5E24">
          <w:rPr>
            <w:rStyle w:val="Hyperlink"/>
            <w:rFonts w:cs="Tahoma"/>
            <w:sz w:val="16"/>
            <w:szCs w:val="16"/>
          </w:rPr>
          <w:t>https://dvha.vermont.gov/members/medicare-savings-program</w:t>
        </w:r>
      </w:hyperlink>
      <w:r w:rsidRPr="006E5E24">
        <w:rPr>
          <w:rFonts w:cs="Tahoma"/>
          <w:sz w:val="16"/>
          <w:szCs w:val="16"/>
        </w:rPr>
        <w:t>.</w:t>
      </w:r>
    </w:p>
  </w:endnote>
  <w:endnote w:id="58">
    <w:p w14:paraId="2ED37296"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The District of Columbia has increased QMB to 300% and eliminated SLMB and QI. “Qualified Medicare Beneficiaries.” Government of the District of Columbia, Department of Health Care Finance, December 1, 2014. </w:t>
      </w:r>
      <w:hyperlink r:id="rId72" w:history="1">
        <w:r w:rsidRPr="006E5E24">
          <w:rPr>
            <w:rStyle w:val="Hyperlink"/>
            <w:rFonts w:cs="Tahoma"/>
            <w:sz w:val="16"/>
            <w:szCs w:val="16"/>
          </w:rPr>
          <w:t>https://dhcf.dc.gov/sites/default/files/dc/sites/dhcf/publication/attachments/QMB_Policy.pdf</w:t>
        </w:r>
      </w:hyperlink>
      <w:r w:rsidRPr="006E5E24">
        <w:rPr>
          <w:rFonts w:cs="Tahoma"/>
          <w:sz w:val="16"/>
          <w:szCs w:val="16"/>
        </w:rPr>
        <w:t xml:space="preserve">. </w:t>
      </w:r>
    </w:p>
  </w:endnote>
  <w:endnote w:id="59">
    <w:p w14:paraId="54D30A2B"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For example, Susan Silberman et al., </w:t>
      </w:r>
      <w:r w:rsidRPr="006E5E24">
        <w:rPr>
          <w:rFonts w:cs="Tahoma"/>
          <w:i/>
          <w:iCs/>
          <w:sz w:val="16"/>
          <w:szCs w:val="16"/>
        </w:rPr>
        <w:t>Standing Back from the Medicare Cliff: Research and Policy Options to Help Low-Income Older Adults</w:t>
      </w:r>
      <w:r w:rsidRPr="006E5E24">
        <w:rPr>
          <w:rFonts w:cs="Tahoma"/>
          <w:sz w:val="16"/>
          <w:szCs w:val="16"/>
        </w:rPr>
        <w:t xml:space="preserve"> (National Council on Aging and LeadingAge LTSS Center @UMass Boston, 2024), 7-10, </w:t>
      </w:r>
      <w:hyperlink r:id="rId73" w:history="1">
        <w:r w:rsidRPr="006E5E24">
          <w:rPr>
            <w:rStyle w:val="Hyperlink"/>
            <w:rFonts w:cs="Tahoma"/>
            <w:sz w:val="16"/>
            <w:szCs w:val="16"/>
          </w:rPr>
          <w:t>https://assets.ncoa.org/ffacfe7d-10b6-0083-2632-604077fd4eca/467f43a0-d595-483b-8fdb-be068ab9cbbf/2024_Medicare_Cliff_Report.pdf</w:t>
        </w:r>
      </w:hyperlink>
      <w:r w:rsidRPr="006E5E24">
        <w:rPr>
          <w:rFonts w:cs="Tahoma"/>
          <w:sz w:val="16"/>
          <w:szCs w:val="16"/>
        </w:rPr>
        <w:t xml:space="preserve">. See also, Eric T. Roberts et al., “Medicaid Coverage ‘Cliff’ Increases Expenses </w:t>
      </w:r>
      <w:proofErr w:type="gramStart"/>
      <w:r w:rsidRPr="006E5E24">
        <w:rPr>
          <w:rFonts w:cs="Tahoma"/>
          <w:sz w:val="16"/>
          <w:szCs w:val="16"/>
        </w:rPr>
        <w:t>And</w:t>
      </w:r>
      <w:proofErr w:type="gramEnd"/>
      <w:r w:rsidRPr="006E5E24">
        <w:rPr>
          <w:rFonts w:cs="Tahoma"/>
          <w:sz w:val="16"/>
          <w:szCs w:val="16"/>
        </w:rPr>
        <w:t xml:space="preserve"> Decreases Care </w:t>
      </w:r>
      <w:proofErr w:type="gramStart"/>
      <w:r w:rsidRPr="006E5E24">
        <w:rPr>
          <w:rFonts w:cs="Tahoma"/>
          <w:sz w:val="16"/>
          <w:szCs w:val="16"/>
        </w:rPr>
        <w:t>For</w:t>
      </w:r>
      <w:proofErr w:type="gramEnd"/>
      <w:r w:rsidRPr="006E5E24">
        <w:rPr>
          <w:rFonts w:cs="Tahoma"/>
          <w:sz w:val="16"/>
          <w:szCs w:val="16"/>
        </w:rPr>
        <w:t xml:space="preserve"> Near-Poor Medicare Beneficiaries,” </w:t>
      </w:r>
      <w:r w:rsidRPr="006E5E24">
        <w:rPr>
          <w:rFonts w:cs="Tahoma"/>
          <w:i/>
          <w:iCs/>
          <w:sz w:val="16"/>
          <w:szCs w:val="16"/>
        </w:rPr>
        <w:t>Health Affairs</w:t>
      </w:r>
      <w:r w:rsidRPr="006E5E24">
        <w:rPr>
          <w:rFonts w:cs="Tahoma"/>
          <w:sz w:val="16"/>
          <w:szCs w:val="16"/>
        </w:rPr>
        <w:t xml:space="preserve"> (Project Hope) 40, no. 4 (2021): 552-61, </w:t>
      </w:r>
      <w:hyperlink r:id="rId74" w:history="1">
        <w:r w:rsidRPr="006E5E24">
          <w:rPr>
            <w:rStyle w:val="Hyperlink"/>
            <w:rFonts w:cs="Tahoma"/>
            <w:sz w:val="16"/>
            <w:szCs w:val="16"/>
          </w:rPr>
          <w:t>https://doi.org/10.1377/hlthaff.2020.02272</w:t>
        </w:r>
      </w:hyperlink>
      <w:r w:rsidRPr="006E5E24">
        <w:rPr>
          <w:rFonts w:cs="Tahoma"/>
          <w:sz w:val="16"/>
          <w:szCs w:val="16"/>
        </w:rPr>
        <w:t>; Hayes et al., “Moving from Medicaid Expansion Coverage to Medicare Can Be a Burdensome Transition.”</w:t>
      </w:r>
    </w:p>
  </w:endnote>
  <w:endnote w:id="60">
    <w:p w14:paraId="3F39E97D" w14:textId="77777777" w:rsidR="00EF5B11" w:rsidRPr="006E5E24" w:rsidRDefault="00EF5B11"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w:t>
      </w:r>
      <w:r w:rsidRPr="000E0093">
        <w:rPr>
          <w:rFonts w:cs="Tahoma"/>
          <w:sz w:val="16"/>
          <w:szCs w:val="16"/>
        </w:rPr>
        <w:t xml:space="preserve">Maryssa Pallis et al., “Long-Term Changes in Health Care Use and Outcomes Among Groups Maintaining Versus Losing Medicaid Upon Medicare Enrollment,” </w:t>
      </w:r>
      <w:r w:rsidRPr="000E0093">
        <w:rPr>
          <w:rFonts w:cs="Tahoma"/>
          <w:i/>
          <w:iCs/>
          <w:sz w:val="16"/>
          <w:szCs w:val="16"/>
        </w:rPr>
        <w:t>Milbank Quarterly</w:t>
      </w:r>
      <w:r w:rsidRPr="000E0093">
        <w:rPr>
          <w:rFonts w:cs="Tahoma"/>
          <w:sz w:val="16"/>
          <w:szCs w:val="16"/>
        </w:rPr>
        <w:t xml:space="preserve">, 104, no. 2 (February 27, 2026): 7-15, </w:t>
      </w:r>
      <w:hyperlink r:id="rId75" w:history="1">
        <w:r w:rsidRPr="006E5E24">
          <w:rPr>
            <w:rStyle w:val="Hyperlink"/>
            <w:rFonts w:cs="Tahoma"/>
            <w:kern w:val="2"/>
            <w:sz w:val="16"/>
            <w:szCs w:val="16"/>
            <w14:ligatures w14:val="standardContextual"/>
          </w:rPr>
          <w:t>https://doi.org/10.1111/1468-0009.70076</w:t>
        </w:r>
      </w:hyperlink>
      <w:r w:rsidRPr="006E5E24">
        <w:rPr>
          <w:rFonts w:cs="Tahoma"/>
          <w:sz w:val="16"/>
          <w:szCs w:val="16"/>
        </w:rPr>
        <w:t xml:space="preserve">. See also, Silberman et al., </w:t>
      </w:r>
      <w:r w:rsidRPr="006E5E24">
        <w:rPr>
          <w:rFonts w:cs="Tahoma"/>
          <w:i/>
          <w:iCs/>
          <w:sz w:val="16"/>
          <w:szCs w:val="16"/>
        </w:rPr>
        <w:t>Standing Back from the Cliff</w:t>
      </w:r>
      <w:r w:rsidRPr="006E5E24">
        <w:rPr>
          <w:rFonts w:cs="Tahoma"/>
          <w:sz w:val="16"/>
          <w:szCs w:val="16"/>
        </w:rPr>
        <w:t>, 7-8; Hayes et al., “Moving from Medicaid Expansion Coverage to Medicare Can Be a Burdensome Transition.”</w:t>
      </w:r>
    </w:p>
  </w:endnote>
  <w:endnote w:id="61">
    <w:p w14:paraId="2BBF4065" w14:textId="77777777" w:rsidR="00EF5B11" w:rsidRPr="006E5E24" w:rsidRDefault="00EF5B11"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Alex D. Federman et al., “Avoidance </w:t>
      </w:r>
      <w:proofErr w:type="gramStart"/>
      <w:r w:rsidRPr="006E5E24">
        <w:rPr>
          <w:rFonts w:cs="Tahoma"/>
          <w:sz w:val="16"/>
          <w:szCs w:val="16"/>
        </w:rPr>
        <w:t>Of</w:t>
      </w:r>
      <w:proofErr w:type="gramEnd"/>
      <w:r w:rsidRPr="006E5E24">
        <w:rPr>
          <w:rFonts w:cs="Tahoma"/>
          <w:sz w:val="16"/>
          <w:szCs w:val="16"/>
        </w:rPr>
        <w:t xml:space="preserve"> Health Care Services Because Of Cost: Impact </w:t>
      </w:r>
      <w:proofErr w:type="gramStart"/>
      <w:r w:rsidRPr="006E5E24">
        <w:rPr>
          <w:rFonts w:cs="Tahoma"/>
          <w:sz w:val="16"/>
          <w:szCs w:val="16"/>
        </w:rPr>
        <w:t>Of</w:t>
      </w:r>
      <w:proofErr w:type="gramEnd"/>
      <w:r w:rsidRPr="006E5E24">
        <w:rPr>
          <w:rFonts w:cs="Tahoma"/>
          <w:sz w:val="16"/>
          <w:szCs w:val="16"/>
        </w:rPr>
        <w:t xml:space="preserve"> </w:t>
      </w:r>
      <w:proofErr w:type="gramStart"/>
      <w:r w:rsidRPr="006E5E24">
        <w:rPr>
          <w:rFonts w:cs="Tahoma"/>
          <w:sz w:val="16"/>
          <w:szCs w:val="16"/>
        </w:rPr>
        <w:t>The</w:t>
      </w:r>
      <w:proofErr w:type="gramEnd"/>
      <w:r w:rsidRPr="006E5E24">
        <w:rPr>
          <w:rFonts w:cs="Tahoma"/>
          <w:sz w:val="16"/>
          <w:szCs w:val="16"/>
        </w:rPr>
        <w:t xml:space="preserve"> Medicare Savings Program,” </w:t>
      </w:r>
      <w:r w:rsidRPr="006E5E24">
        <w:rPr>
          <w:rFonts w:cs="Tahoma"/>
          <w:i/>
          <w:sz w:val="16"/>
          <w:szCs w:val="16"/>
        </w:rPr>
        <w:t>Health Affairs</w:t>
      </w:r>
      <w:r w:rsidRPr="006E5E24">
        <w:rPr>
          <w:rFonts w:cs="Tahoma"/>
          <w:sz w:val="16"/>
          <w:szCs w:val="16"/>
        </w:rPr>
        <w:t xml:space="preserve"> 24, no. 1 (2005): 263-70, </w:t>
      </w:r>
      <w:hyperlink r:id="rId76" w:history="1">
        <w:r w:rsidRPr="006E5E24">
          <w:rPr>
            <w:rStyle w:val="Hyperlink"/>
            <w:rFonts w:cs="Tahoma"/>
            <w:sz w:val="16"/>
            <w:szCs w:val="16"/>
          </w:rPr>
          <w:t>https://doi.org/10.1377/hlthaff.24.1.263</w:t>
        </w:r>
      </w:hyperlink>
      <w:r w:rsidRPr="006E5E24">
        <w:rPr>
          <w:rFonts w:cs="Tahoma"/>
          <w:sz w:val="16"/>
          <w:szCs w:val="16"/>
        </w:rPr>
        <w:t>.</w:t>
      </w:r>
    </w:p>
  </w:endnote>
  <w:endnote w:id="62">
    <w:p w14:paraId="63163051"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Yi-Ting Chou et al., “The Association Between Medicare Low-Income Subsidy and Anticancer Treatment Uptake in Advanced Lung Cancer,” </w:t>
      </w:r>
      <w:r w:rsidRPr="006E5E24">
        <w:rPr>
          <w:rFonts w:cs="Tahoma"/>
          <w:i/>
          <w:iCs/>
          <w:sz w:val="16"/>
          <w:szCs w:val="16"/>
        </w:rPr>
        <w:t>Journal of the National Cancer Institute</w:t>
      </w:r>
      <w:r w:rsidRPr="006E5E24">
        <w:rPr>
          <w:rFonts w:cs="Tahoma"/>
          <w:sz w:val="16"/>
          <w:szCs w:val="16"/>
        </w:rPr>
        <w:t xml:space="preserve"> 112, no. 6 (2020): 637-46, </w:t>
      </w:r>
      <w:hyperlink r:id="rId77" w:history="1">
        <w:r w:rsidRPr="006E5E24">
          <w:rPr>
            <w:rStyle w:val="Hyperlink"/>
            <w:rFonts w:cs="Tahoma"/>
            <w:sz w:val="16"/>
            <w:szCs w:val="16"/>
          </w:rPr>
          <w:t>https://doi.org/10.1093/jnci/djz183</w:t>
        </w:r>
      </w:hyperlink>
      <w:r w:rsidRPr="006E5E24">
        <w:rPr>
          <w:rFonts w:cs="Tahoma"/>
          <w:sz w:val="16"/>
          <w:szCs w:val="16"/>
        </w:rPr>
        <w:t>.</w:t>
      </w:r>
    </w:p>
  </w:endnote>
  <w:endnote w:id="63">
    <w:p w14:paraId="65487428"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Eric T. Roberts et al., “Loss of Subsidized Drug Coverage and Mortality among Medicare Beneficiaries,” </w:t>
      </w:r>
      <w:r w:rsidRPr="006E5E24">
        <w:rPr>
          <w:rFonts w:cs="Tahoma"/>
          <w:i/>
          <w:iCs/>
          <w:sz w:val="16"/>
          <w:szCs w:val="16"/>
        </w:rPr>
        <w:t>New England Journal of Medicine</w:t>
      </w:r>
      <w:r w:rsidRPr="006E5E24">
        <w:rPr>
          <w:rFonts w:cs="Tahoma"/>
          <w:sz w:val="16"/>
          <w:szCs w:val="16"/>
        </w:rPr>
        <w:t xml:space="preserve"> 392, no. 20 (2025): 2025-34, </w:t>
      </w:r>
      <w:hyperlink r:id="rId78" w:history="1">
        <w:r w:rsidRPr="006E5E24">
          <w:rPr>
            <w:rStyle w:val="Hyperlink"/>
            <w:rFonts w:cs="Tahoma"/>
            <w:sz w:val="16"/>
            <w:szCs w:val="16"/>
          </w:rPr>
          <w:t>https://doi.org/10.1056/NEJMsa2414435</w:t>
        </w:r>
      </w:hyperlink>
      <w:r w:rsidRPr="006E5E24">
        <w:rPr>
          <w:rFonts w:cs="Tahoma"/>
          <w:sz w:val="16"/>
          <w:szCs w:val="16"/>
        </w:rPr>
        <w:t>.</w:t>
      </w:r>
    </w:p>
  </w:endnote>
  <w:endnote w:id="64">
    <w:p w14:paraId="279D0F7B"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Centers for Medicare &amp; Medicaid Services (CMS), "2026 Medicare Parts A &amp; B Premiums and Deductibles,” Nov. 14, 2025, </w:t>
      </w:r>
      <w:hyperlink r:id="rId79" w:history="1">
        <w:r w:rsidRPr="006E5E24">
          <w:rPr>
            <w:rStyle w:val="Hyperlink"/>
            <w:rFonts w:cs="Tahoma"/>
            <w:sz w:val="16"/>
            <w:szCs w:val="16"/>
          </w:rPr>
          <w:t>https://www.cms.gov/newsroom/fact-sheets/2026-medicare-parts-b-premiums-deductibles</w:t>
        </w:r>
      </w:hyperlink>
      <w:r w:rsidRPr="006E5E24">
        <w:rPr>
          <w:rFonts w:cs="Tahoma"/>
          <w:sz w:val="16"/>
          <w:szCs w:val="16"/>
        </w:rPr>
        <w:t xml:space="preserve">; CMS, “Chapter 1: Program Overview and Policy,” </w:t>
      </w:r>
      <w:r w:rsidRPr="006E5E24">
        <w:rPr>
          <w:rFonts w:cs="Tahoma"/>
          <w:i/>
          <w:iCs/>
          <w:sz w:val="16"/>
          <w:szCs w:val="16"/>
        </w:rPr>
        <w:t>Manual for the State Payment of Medicare Premiums</w:t>
      </w:r>
      <w:r w:rsidRPr="006E5E24">
        <w:rPr>
          <w:rFonts w:cs="Tahoma"/>
          <w:sz w:val="16"/>
          <w:szCs w:val="16"/>
        </w:rPr>
        <w:t xml:space="preserve">, Pub. 100-24, section 1.2, </w:t>
      </w:r>
      <w:hyperlink r:id="rId80" w:history="1">
        <w:r w:rsidRPr="006E5E24">
          <w:rPr>
            <w:rStyle w:val="Hyperlink"/>
            <w:rFonts w:cs="Tahoma"/>
            <w:sz w:val="16"/>
            <w:szCs w:val="16"/>
          </w:rPr>
          <w:t>https://www.cms.gov/files/document/chapter-1-program-overview-and-policy.pdf</w:t>
        </w:r>
      </w:hyperlink>
      <w:r w:rsidRPr="006E5E24">
        <w:rPr>
          <w:rFonts w:cs="Tahoma"/>
          <w:sz w:val="16"/>
          <w:szCs w:val="16"/>
        </w:rPr>
        <w:t>.</w:t>
      </w:r>
    </w:p>
  </w:endnote>
  <w:endnote w:id="65">
    <w:p w14:paraId="4F679934"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“Navigating the Medicare Savings Program (MSP) Eligibility Experience;” CMS, “Streamlining Medicaid; Medicare Savings Program Eligibility Determination and Enrollment,” Federal Register, Vol. 88, No. 182 (September 21, 2023): 65230, 65234, </w:t>
      </w:r>
      <w:hyperlink r:id="rId81" w:history="1">
        <w:r w:rsidRPr="006E5E24">
          <w:rPr>
            <w:rStyle w:val="Hyperlink"/>
            <w:rFonts w:cs="Tahoma"/>
            <w:sz w:val="16"/>
            <w:szCs w:val="16"/>
          </w:rPr>
          <w:t>https://www.federalregister.gov/documents/2023/09/21/2023-20382/streamlining-medicaid-medicare-savings-program-eligibility-determination-and-enrollment</w:t>
        </w:r>
      </w:hyperlink>
      <w:r w:rsidRPr="006E5E24">
        <w:rPr>
          <w:rFonts w:cs="Tahoma"/>
          <w:sz w:val="16"/>
          <w:szCs w:val="16"/>
        </w:rPr>
        <w:t xml:space="preserve">. See also, Silberman et al., </w:t>
      </w:r>
      <w:r w:rsidRPr="006E5E24">
        <w:rPr>
          <w:rFonts w:cs="Tahoma"/>
          <w:i/>
          <w:iCs/>
          <w:sz w:val="16"/>
          <w:szCs w:val="16"/>
        </w:rPr>
        <w:t>Standing Back from the Cliff</w:t>
      </w:r>
      <w:r w:rsidRPr="006E5E24">
        <w:rPr>
          <w:rFonts w:cs="Tahoma"/>
          <w:sz w:val="16"/>
          <w:szCs w:val="16"/>
        </w:rPr>
        <w:t>, 7-17; Hayes et al., “Moving from Medicaid Expansion Coverage to Medicare Can Be a Burdensome Transition.”</w:t>
      </w:r>
    </w:p>
  </w:endnote>
  <w:endnote w:id="66">
    <w:p w14:paraId="546D5095"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Enrollment in QMB does not eliminate any existing medical debts, however, and the cost-sharing protections only apply to Medicare Part A and B services.</w:t>
      </w:r>
    </w:p>
  </w:endnote>
  <w:endnote w:id="67">
    <w:p w14:paraId="00B9452A"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Eric T. Roberts et al., “Racial and Ethnic Disparities in Health Care Use and Access Associated </w:t>
      </w:r>
      <w:proofErr w:type="gramStart"/>
      <w:r w:rsidRPr="006E5E24">
        <w:rPr>
          <w:rFonts w:cs="Tahoma"/>
          <w:sz w:val="16"/>
          <w:szCs w:val="16"/>
        </w:rPr>
        <w:t>With</w:t>
      </w:r>
      <w:proofErr w:type="gramEnd"/>
      <w:r w:rsidRPr="006E5E24">
        <w:rPr>
          <w:rFonts w:cs="Tahoma"/>
          <w:sz w:val="16"/>
          <w:szCs w:val="16"/>
        </w:rPr>
        <w:t xml:space="preserve"> Loss of Medicaid Supplemental Insurance Eligibility Above the Federal Poverty Level,” </w:t>
      </w:r>
      <w:r w:rsidRPr="006E5E24">
        <w:rPr>
          <w:rFonts w:cs="Tahoma"/>
          <w:i/>
          <w:iCs/>
          <w:sz w:val="16"/>
          <w:szCs w:val="16"/>
        </w:rPr>
        <w:t>JAMA Internal Medicine</w:t>
      </w:r>
      <w:r w:rsidRPr="006E5E24">
        <w:rPr>
          <w:rFonts w:cs="Tahoma"/>
          <w:sz w:val="16"/>
          <w:szCs w:val="16"/>
        </w:rPr>
        <w:t xml:space="preserve"> 183, no. 6 (2023): 534-4, </w:t>
      </w:r>
      <w:hyperlink r:id="rId82" w:history="1">
        <w:r w:rsidRPr="006E5E24">
          <w:rPr>
            <w:rStyle w:val="Hyperlink"/>
            <w:rFonts w:cs="Tahoma"/>
            <w:sz w:val="16"/>
            <w:szCs w:val="16"/>
          </w:rPr>
          <w:t>https://doi.org/10.1001/jamainternmed.2023.0512</w:t>
        </w:r>
      </w:hyperlink>
      <w:r w:rsidRPr="006E5E24">
        <w:rPr>
          <w:rFonts w:cs="Tahoma"/>
          <w:sz w:val="16"/>
          <w:szCs w:val="16"/>
        </w:rPr>
        <w:t xml:space="preserve">. </w:t>
      </w:r>
    </w:p>
  </w:endnote>
  <w:endnote w:id="68">
    <w:p w14:paraId="5E9F1859"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t>
      </w:r>
      <w:r w:rsidRPr="000E0093">
        <w:rPr>
          <w:rFonts w:cs="Tahoma"/>
          <w:sz w:val="16"/>
          <w:szCs w:val="16"/>
        </w:rPr>
        <w:t xml:space="preserve">States may set the same or a lower income disregard for QI as they do for QMB but cannot set a higher disregard for QI than for QMB. If </w:t>
      </w:r>
      <w:r w:rsidRPr="006E5E24">
        <w:rPr>
          <w:rFonts w:cs="Tahoma"/>
          <w:sz w:val="16"/>
          <w:szCs w:val="16"/>
        </w:rPr>
        <w:t xml:space="preserve">a state disregards an amount of countable income equal to 38 percent of the federal QMB income limit for QMBs, states can also disregard an amount of income equal to or less than 38 percent of the federal QI income limits. CMS permits states to expand QMB and QI without also expanding SLMB. See CMS, “Implementation Guide: Medicaid State Plan Eligibility. Eligibility Groups - Mandatory Coverage Qualifying Individuals,” n.d., </w:t>
      </w:r>
      <w:hyperlink r:id="rId83" w:history="1">
        <w:r w:rsidRPr="006E5E24">
          <w:rPr>
            <w:rStyle w:val="Hyperlink"/>
            <w:rFonts w:cs="Tahoma"/>
            <w:sz w:val="16"/>
            <w:szCs w:val="16"/>
          </w:rPr>
          <w:t>https://www.medicaid.gov/resources-for-states/downloads/macpro-ig-qualifying-individuals.pdf</w:t>
        </w:r>
      </w:hyperlink>
      <w:r w:rsidRPr="006E5E24">
        <w:rPr>
          <w:rFonts w:cs="Tahoma"/>
          <w:sz w:val="16"/>
          <w:szCs w:val="16"/>
        </w:rPr>
        <w:t>.</w:t>
      </w:r>
    </w:p>
  </w:endnote>
  <w:endnote w:id="69">
    <w:p w14:paraId="1876021A" w14:textId="77777777" w:rsidR="00EF5B11" w:rsidRPr="006E5E24" w:rsidRDefault="00EF5B11"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CMS, Manual for the State Payment of Medicare Premiums, chapter 1, section 1.9. </w:t>
      </w:r>
    </w:p>
  </w:endnote>
  <w:endnote w:id="70">
    <w:p w14:paraId="023B5061" w14:textId="2DB40C92"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For discussion of lesser-of payment policies, see </w:t>
      </w:r>
      <w:r w:rsidR="00507F91">
        <w:rPr>
          <w:rFonts w:cs="Tahoma"/>
          <w:i/>
          <w:iCs/>
          <w:sz w:val="16"/>
          <w:szCs w:val="16"/>
        </w:rPr>
        <w:t>State Medicaid Payment Policies for Medicare Cost Sharing</w:t>
      </w:r>
      <w:r w:rsidR="00D95773" w:rsidRPr="00E16326">
        <w:rPr>
          <w:rFonts w:cs="Tahoma"/>
          <w:sz w:val="16"/>
          <w:szCs w:val="16"/>
        </w:rPr>
        <w:t xml:space="preserve"> (</w:t>
      </w:r>
      <w:r w:rsidR="00D95773" w:rsidRPr="00E16326">
        <w:rPr>
          <w:rFonts w:cs="Tahoma"/>
          <w:sz w:val="16"/>
          <w:szCs w:val="16"/>
          <w:lang w:val="en"/>
        </w:rPr>
        <w:t>Medicaid and CHIP Payment and Access Commission (MACPAC)</w:t>
      </w:r>
      <w:r w:rsidR="00D95773" w:rsidRPr="00E16326">
        <w:rPr>
          <w:rFonts w:cs="Tahoma"/>
          <w:sz w:val="16"/>
          <w:szCs w:val="16"/>
        </w:rPr>
        <w:t xml:space="preserve">, </w:t>
      </w:r>
      <w:r w:rsidR="00021EF0">
        <w:rPr>
          <w:rFonts w:cs="Tahoma"/>
          <w:sz w:val="16"/>
          <w:szCs w:val="16"/>
        </w:rPr>
        <w:t xml:space="preserve">August </w:t>
      </w:r>
      <w:r w:rsidR="00D95773" w:rsidRPr="00E16326">
        <w:rPr>
          <w:rFonts w:cs="Tahoma"/>
          <w:sz w:val="16"/>
          <w:szCs w:val="16"/>
        </w:rPr>
        <w:t>202</w:t>
      </w:r>
      <w:r w:rsidR="00021EF0">
        <w:rPr>
          <w:rFonts w:cs="Tahoma"/>
          <w:sz w:val="16"/>
          <w:szCs w:val="16"/>
        </w:rPr>
        <w:t>5</w:t>
      </w:r>
      <w:r w:rsidR="00D95773" w:rsidRPr="00E16326">
        <w:rPr>
          <w:rFonts w:cs="Tahoma"/>
          <w:sz w:val="16"/>
          <w:szCs w:val="16"/>
        </w:rPr>
        <w:t>),</w:t>
      </w:r>
      <w:r w:rsidR="00251C6F">
        <w:rPr>
          <w:rFonts w:cs="Tahoma"/>
          <w:sz w:val="16"/>
          <w:szCs w:val="16"/>
        </w:rPr>
        <w:t xml:space="preserve"> </w:t>
      </w:r>
      <w:hyperlink r:id="rId84" w:history="1">
        <w:r w:rsidR="00251C6F" w:rsidRPr="00AE70F6">
          <w:rPr>
            <w:rStyle w:val="Hyperlink"/>
            <w:rFonts w:cs="Tahoma"/>
            <w:sz w:val="16"/>
            <w:szCs w:val="16"/>
          </w:rPr>
          <w:t>https://www.macpac.gov/wp-content/uploads/2025/08/2025.08-Policy-in-Brief-State-Medicaid-Payment-Policies-for-Medicare-Cost-Sharing.pdf</w:t>
        </w:r>
      </w:hyperlink>
      <w:r w:rsidRPr="006E5E24">
        <w:rPr>
          <w:rFonts w:cs="Tahoma"/>
          <w:sz w:val="16"/>
          <w:szCs w:val="16"/>
        </w:rPr>
        <w:t xml:space="preserve">. </w:t>
      </w:r>
    </w:p>
  </w:endnote>
  <w:endnote w:id="71">
    <w:p w14:paraId="38873DCE"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Bad debts are Medicare </w:t>
      </w:r>
      <w:proofErr w:type="gramStart"/>
      <w:r w:rsidRPr="006E5E24">
        <w:rPr>
          <w:rFonts w:cs="Tahoma"/>
          <w:sz w:val="16"/>
          <w:szCs w:val="16"/>
        </w:rPr>
        <w:t>deductible</w:t>
      </w:r>
      <w:proofErr w:type="gramEnd"/>
      <w:r w:rsidRPr="006E5E24">
        <w:rPr>
          <w:rFonts w:cs="Tahoma"/>
          <w:sz w:val="16"/>
          <w:szCs w:val="16"/>
        </w:rPr>
        <w:t xml:space="preserve"> and coinsurance amounts that providers are unable to collect from Medicare beneficiaries or any other entity on their behalf.</w:t>
      </w:r>
    </w:p>
  </w:endnote>
  <w:endnote w:id="72">
    <w:p w14:paraId="375AD3E4"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t>
      </w:r>
      <w:r w:rsidRPr="006E5E24">
        <w:rPr>
          <w:rFonts w:cs="Tahoma"/>
          <w:i/>
          <w:iCs/>
          <w:sz w:val="16"/>
          <w:szCs w:val="16"/>
        </w:rPr>
        <w:t>Access to Care Issues Among Qualified Medicare Beneficiaries (QMB)</w:t>
      </w:r>
      <w:r w:rsidRPr="006E5E24">
        <w:rPr>
          <w:rFonts w:cs="Tahoma"/>
          <w:sz w:val="16"/>
          <w:szCs w:val="16"/>
        </w:rPr>
        <w:t xml:space="preserve"> (Centers for Medicare &amp; Medicaid Services, 2015), </w:t>
      </w:r>
      <w:hyperlink r:id="rId85" w:history="1">
        <w:r w:rsidRPr="006E5E24">
          <w:rPr>
            <w:rStyle w:val="Hyperlink"/>
            <w:rFonts w:cs="Tahoma"/>
            <w:sz w:val="16"/>
            <w:szCs w:val="16"/>
          </w:rPr>
          <w:t>https://www.cms.gov/medicare-medicaid-coordination/medicare-and-medicaid-coordination/medicare-medicaid-coordination-office/downloads/access_to_care_issues_among_qualified_medicare_beneficiaries.pdf</w:t>
        </w:r>
      </w:hyperlink>
      <w:r w:rsidRPr="006E5E24">
        <w:rPr>
          <w:rFonts w:cs="Tahoma"/>
          <w:sz w:val="16"/>
          <w:szCs w:val="16"/>
        </w:rPr>
        <w:t>.</w:t>
      </w:r>
    </w:p>
  </w:endnote>
  <w:endnote w:id="73">
    <w:p w14:paraId="404E52F9" w14:textId="77777777" w:rsidR="00EF5B11"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Hayes et al., “Moving from Medicaid Expansion Coverage to Medicare Can Be a Burdensome Transition.”</w:t>
      </w:r>
    </w:p>
    <w:p w14:paraId="732B9C30" w14:textId="77777777" w:rsidR="00614CDE" w:rsidRDefault="00614CDE" w:rsidP="006E5E24">
      <w:pPr>
        <w:pStyle w:val="EndnoteText"/>
        <w:rPr>
          <w:rFonts w:cs="Tahoma"/>
          <w:sz w:val="16"/>
          <w:szCs w:val="16"/>
        </w:rPr>
      </w:pPr>
    </w:p>
    <w:p w14:paraId="60A524C5" w14:textId="77777777" w:rsidR="00EF5B11" w:rsidRDefault="00EF5B11" w:rsidP="006E5E24">
      <w:pPr>
        <w:pStyle w:val="EndnoteText"/>
        <w:rPr>
          <w:rFonts w:cs="Tahoma"/>
          <w:sz w:val="16"/>
          <w:szCs w:val="16"/>
        </w:rPr>
      </w:pPr>
    </w:p>
    <w:p w14:paraId="7020E80B" w14:textId="082917DD" w:rsidR="00A15597" w:rsidRPr="006E5E24" w:rsidRDefault="00A15597" w:rsidP="006E5E24">
      <w:pPr>
        <w:pStyle w:val="EndnoteText"/>
        <w:rPr>
          <w:rFonts w:cs="Tahoma"/>
          <w:sz w:val="16"/>
          <w:szCs w:val="16"/>
        </w:rPr>
      </w:pPr>
      <w:r>
        <w:rPr>
          <w:rFonts w:cs="Tahoma"/>
          <w:sz w:val="16"/>
          <w:szCs w:val="16"/>
        </w:rPr>
        <w:t>________________________________</w:t>
      </w:r>
    </w:p>
  </w:endnote>
  <w:endnote w:id="74">
    <w:p w14:paraId="6082904D"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The AARP Public Policy Institute (PPI) and Mathematica analyzed MSP eligibility expansions in Indiana (2014: QMB 150%, SLMB 170%, QI 185%) and Massachusetts (2020: QMB 130%, SLMB 150%, QI 165%, doubled asset test). Their methodology assumed MSP enrollment would have declined in these states without the policy changes, but MSP enrollment across the country steadily increased during that period, suggesting AARP’s analysis likely overstated the impact of the Indiana and Massachusetts eligibility expansions. Tobey Oliver et al., </w:t>
      </w:r>
      <w:r w:rsidRPr="006E5E24">
        <w:rPr>
          <w:rFonts w:cs="Tahoma"/>
          <w:i/>
          <w:iCs/>
          <w:sz w:val="16"/>
          <w:szCs w:val="16"/>
        </w:rPr>
        <w:t>Medicare Savings Program Enrollment Increases When States Expand Financial Eligibility Criteria</w:t>
      </w:r>
      <w:r w:rsidRPr="006E5E24">
        <w:rPr>
          <w:rFonts w:cs="Tahoma"/>
          <w:sz w:val="16"/>
          <w:szCs w:val="16"/>
        </w:rPr>
        <w:t xml:space="preserve"> (AARP Public Policy Institute, 2023), </w:t>
      </w:r>
      <w:hyperlink r:id="rId86" w:history="1">
        <w:r w:rsidRPr="006E5E24">
          <w:rPr>
            <w:rStyle w:val="Hyperlink"/>
            <w:rFonts w:cs="Tahoma"/>
            <w:sz w:val="16"/>
            <w:szCs w:val="16"/>
          </w:rPr>
          <w:t>https://www.aarp.org/content/dam/aarp/ppi/topics/health/coverage-access/medicare-savings-program-enrollment-increases.doi.10.26419-2Fppi.00210.001.pdf</w:t>
        </w:r>
      </w:hyperlink>
      <w:r w:rsidRPr="006E5E24">
        <w:rPr>
          <w:rFonts w:cs="Tahoma"/>
          <w:sz w:val="16"/>
          <w:szCs w:val="16"/>
        </w:rPr>
        <w:t xml:space="preserve">; “Chapter 3: Medicare Savings Programs: Enrollment Trends.” MACPAC, June 2024. </w:t>
      </w:r>
      <w:hyperlink r:id="rId87" w:history="1">
        <w:r w:rsidRPr="006E5E24">
          <w:rPr>
            <w:rStyle w:val="Hyperlink"/>
            <w:rFonts w:cs="Tahoma"/>
            <w:sz w:val="16"/>
            <w:szCs w:val="16"/>
          </w:rPr>
          <w:t>https://www.macpac.gov/wp-content/uploads/2024/06/MACPAC_June-2024-Chapter-3-Medicare-Savings-Programs-Enrollment-Trends.pdf</w:t>
        </w:r>
      </w:hyperlink>
      <w:r w:rsidRPr="006E5E24">
        <w:rPr>
          <w:rFonts w:cs="Tahoma"/>
          <w:sz w:val="16"/>
          <w:szCs w:val="16"/>
        </w:rPr>
        <w:t xml:space="preserve">. In 2022, Washington State projected raising QMB income limits to 138% of the poverty level, but these were estimates and presumed no MSP asset test. Mancuso, David. </w:t>
      </w:r>
      <w:r w:rsidRPr="006E5E24">
        <w:rPr>
          <w:rFonts w:cs="Tahoma"/>
          <w:i/>
          <w:iCs/>
          <w:sz w:val="16"/>
          <w:szCs w:val="16"/>
        </w:rPr>
        <w:t>Costs and Benefits of Expanding Medicare Savings Programs and Classic Medicaid Programs to Promote Affordable Care, Premiums, and Cost Sharing for Medicare Enrollees</w:t>
      </w:r>
      <w:r w:rsidRPr="006E5E24">
        <w:rPr>
          <w:rFonts w:cs="Tahoma"/>
          <w:sz w:val="16"/>
          <w:szCs w:val="16"/>
        </w:rPr>
        <w:t xml:space="preserve">. Report to the Legislature. Washington State Department of Social and Health Services, 2022. </w:t>
      </w:r>
      <w:hyperlink r:id="rId88" w:history="1">
        <w:r w:rsidRPr="006E5E24">
          <w:rPr>
            <w:rStyle w:val="Hyperlink"/>
            <w:rFonts w:cs="Tahoma"/>
            <w:sz w:val="16"/>
            <w:szCs w:val="16"/>
          </w:rPr>
          <w:t>https://app.leg.wa.gov/ReportsToTheLegislature/Home/GetPDF?fileName=Medicare%20Cliff%20Proviso%20Report%20-%20FINAL%2001-11-23_c3f3dc6f-f440-4647-ac90-2029b26ae22a.pdf</w:t>
        </w:r>
      </w:hyperlink>
      <w:r w:rsidRPr="006E5E24">
        <w:rPr>
          <w:rFonts w:cs="Tahoma"/>
          <w:sz w:val="16"/>
          <w:szCs w:val="16"/>
        </w:rPr>
        <w:t xml:space="preserve">. In 2023, New York raised income eligibility for QMB to 138% and QI to 186% of the poverty level, in line with this model policy. However, the state also simultaneously expanded full-benefit Medicaid, amplifying the effect beyond MSP changes alone. Johnson, Kate, Sophie Leruth, Kristal Vardaman, Sasha Hulsey, and Caroline Picher. </w:t>
      </w:r>
      <w:r w:rsidRPr="006E5E24">
        <w:rPr>
          <w:rFonts w:cs="Tahoma"/>
          <w:i/>
          <w:iCs/>
          <w:sz w:val="16"/>
          <w:szCs w:val="16"/>
        </w:rPr>
        <w:t>Expanding Medicare Savings Programs (MSPs) to Increase Healthcare Affordability and Accessibility for Medicare Beneficiaries with Limited Financial Resources</w:t>
      </w:r>
      <w:r w:rsidRPr="006E5E24">
        <w:rPr>
          <w:rFonts w:cs="Tahoma"/>
          <w:sz w:val="16"/>
          <w:szCs w:val="16"/>
        </w:rPr>
        <w:t xml:space="preserve">. </w:t>
      </w:r>
      <w:proofErr w:type="spellStart"/>
      <w:r w:rsidRPr="006E5E24">
        <w:rPr>
          <w:rFonts w:cs="Tahoma"/>
          <w:sz w:val="16"/>
          <w:szCs w:val="16"/>
        </w:rPr>
        <w:t>Aurrera</w:t>
      </w:r>
      <w:proofErr w:type="spellEnd"/>
      <w:r w:rsidRPr="006E5E24">
        <w:rPr>
          <w:rFonts w:cs="Tahoma"/>
          <w:sz w:val="16"/>
          <w:szCs w:val="16"/>
        </w:rPr>
        <w:t xml:space="preserve"> Health Group, West Health, 2025. </w:t>
      </w:r>
      <w:hyperlink r:id="rId89" w:history="1">
        <w:r w:rsidRPr="006E5E24">
          <w:rPr>
            <w:rStyle w:val="Hyperlink"/>
            <w:rFonts w:cs="Tahoma"/>
            <w:sz w:val="16"/>
            <w:szCs w:val="16"/>
          </w:rPr>
          <w:t>https://westhealth.org/wp-content/uploads/2024/12/MSP-Brief_20241212_174643.pdf</w:t>
        </w:r>
      </w:hyperlink>
      <w:r w:rsidRPr="006E5E24">
        <w:rPr>
          <w:rFonts w:cs="Tahoma"/>
          <w:sz w:val="16"/>
          <w:szCs w:val="16"/>
        </w:rPr>
        <w:t>.</w:t>
      </w:r>
    </w:p>
  </w:endnote>
  <w:endnote w:id="75">
    <w:p w14:paraId="0BE6BA55"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MACPAC. “Compendium: State Medicaid Payment Policies for Medicare Cost Sharing.” August 2025. </w:t>
      </w:r>
      <w:hyperlink r:id="rId90" w:history="1">
        <w:r w:rsidRPr="006E5E24">
          <w:rPr>
            <w:rStyle w:val="Hyperlink"/>
            <w:rFonts w:cs="Tahoma"/>
            <w:sz w:val="16"/>
            <w:szCs w:val="16"/>
          </w:rPr>
          <w:t>https://www.macpac.gov/publication/compendium-state-medicaid-payment-policies-for-medicare-cost-sharing</w:t>
        </w:r>
      </w:hyperlink>
      <w:r w:rsidRPr="006E5E24">
        <w:rPr>
          <w:rFonts w:cs="Tahoma"/>
          <w:sz w:val="16"/>
          <w:szCs w:val="16"/>
        </w:rPr>
        <w:t>.</w:t>
      </w:r>
    </w:p>
  </w:endnote>
  <w:endnote w:id="76">
    <w:p w14:paraId="2D8718FC"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We do not have Medicare or Medicaid expenditures by MSP eligibility group. However, several publications compare Medicare costs between full-benefit and partial-benefit dually eligible individuals, finding that people with full-benefit Medicaid have significantly higher Medicare costs than those with partial-benefit Medicaid (see, for example, </w:t>
      </w:r>
      <w:r w:rsidRPr="006E5E24">
        <w:rPr>
          <w:rFonts w:cs="Tahoma"/>
          <w:i/>
          <w:iCs/>
          <w:sz w:val="16"/>
          <w:szCs w:val="16"/>
        </w:rPr>
        <w:t>Mandated Report to the Congress: Dual-Eligible Special Needs Plans</w:t>
      </w:r>
      <w:r w:rsidRPr="006E5E24">
        <w:rPr>
          <w:rFonts w:cs="Tahoma"/>
          <w:sz w:val="16"/>
          <w:szCs w:val="16"/>
        </w:rPr>
        <w:t xml:space="preserve">. </w:t>
      </w:r>
      <w:proofErr w:type="spellStart"/>
      <w:r w:rsidRPr="006E5E24">
        <w:rPr>
          <w:rFonts w:cs="Tahoma"/>
          <w:sz w:val="16"/>
          <w:szCs w:val="16"/>
        </w:rPr>
        <w:t>MedPAC</w:t>
      </w:r>
      <w:proofErr w:type="spellEnd"/>
      <w:r w:rsidRPr="006E5E24">
        <w:rPr>
          <w:rFonts w:cs="Tahoma"/>
          <w:sz w:val="16"/>
          <w:szCs w:val="16"/>
        </w:rPr>
        <w:t xml:space="preserve">, Table 14-1, 2024. </w:t>
      </w:r>
      <w:hyperlink r:id="rId91" w:history="1">
        <w:r w:rsidRPr="006E5E24">
          <w:rPr>
            <w:rStyle w:val="Hyperlink"/>
            <w:rFonts w:cs="Tahoma"/>
            <w:sz w:val="16"/>
            <w:szCs w:val="16"/>
          </w:rPr>
          <w:t>https://www.medpac.gov/wp-content/uploads/2024/03/Mar24_Ch14_MedPAC_Report_To_Congress_SEC.pdf</w:t>
        </w:r>
      </w:hyperlink>
      <w:r w:rsidRPr="006E5E24">
        <w:rPr>
          <w:rFonts w:cs="Tahoma"/>
          <w:sz w:val="16"/>
          <w:szCs w:val="16"/>
        </w:rPr>
        <w:t xml:space="preserve">; Rice, Cheri. “Proposed Changes to the CMS-HCC Risk Adjustment Model for Payment Year 2017.” Centers for Medicare &amp; Medicaid Services, Table 2, October 28, 2015. </w:t>
      </w:r>
      <w:hyperlink r:id="rId92" w:history="1">
        <w:r w:rsidRPr="006E5E24">
          <w:rPr>
            <w:rStyle w:val="Hyperlink"/>
            <w:rFonts w:cs="Tahoma"/>
            <w:sz w:val="16"/>
            <w:szCs w:val="16"/>
          </w:rPr>
          <w:t>https://www.cms.gov/Medicare/Health-Plans/MedicareAdvtgSpecRateStats/Downloads/RiskAdj2017ProposedChanges.pdf</w:t>
        </w:r>
      </w:hyperlink>
      <w:r w:rsidRPr="006E5E24">
        <w:rPr>
          <w:rFonts w:cs="Tahoma"/>
          <w:sz w:val="16"/>
          <w:szCs w:val="16"/>
        </w:rPr>
        <w:t xml:space="preserve">. While there are full-benefit and partial-benefit dually eligible individuals in both QMB and SLMB categories, there are major differences in distribution. In 2023, 79% of QMBs had full Medicaid, while only 23% of SLMBs have full Medicaid and, by definition, 0% of QIs. “MMCO Statistical &amp; Analytic Reports | CMS,” March 4, 2026, </w:t>
      </w:r>
      <w:hyperlink r:id="rId93">
        <w:r w:rsidRPr="006E5E24">
          <w:rPr>
            <w:rStyle w:val="Hyperlink"/>
            <w:rFonts w:cs="Tahoma"/>
            <w:sz w:val="16"/>
            <w:szCs w:val="16"/>
          </w:rPr>
          <w:t>https://www.cms.gov/data-research/research/statistical-resources-dually-eligible-beneficiaries/mmco-statistical-analytic-reports</w:t>
        </w:r>
      </w:hyperlink>
      <w:r w:rsidRPr="006E5E24">
        <w:rPr>
          <w:rFonts w:cs="Tahoma"/>
          <w:sz w:val="16"/>
          <w:szCs w:val="16"/>
        </w:rPr>
        <w:t>.</w:t>
      </w:r>
    </w:p>
    <w:p w14:paraId="32D647AD" w14:textId="77777777" w:rsidR="00EF5B11" w:rsidRPr="006E5E24" w:rsidRDefault="00EF5B11" w:rsidP="006E5E24">
      <w:pPr>
        <w:pStyle w:val="EndnoteText"/>
        <w:rPr>
          <w:rFonts w:cs="Tahoma"/>
          <w:sz w:val="16"/>
          <w:szCs w:val="16"/>
        </w:rPr>
      </w:pPr>
      <w:r w:rsidRPr="006E5E24">
        <w:rPr>
          <w:rFonts w:cs="Tahoma"/>
          <w:sz w:val="16"/>
          <w:szCs w:val="16"/>
        </w:rPr>
        <w:t xml:space="preserve">Therefore, we caution against </w:t>
      </w:r>
      <w:proofErr w:type="gramStart"/>
      <w:r w:rsidRPr="006E5E24">
        <w:rPr>
          <w:rFonts w:cs="Tahoma"/>
          <w:sz w:val="16"/>
          <w:szCs w:val="16"/>
        </w:rPr>
        <w:t>assuming that</w:t>
      </w:r>
      <w:proofErr w:type="gramEnd"/>
      <w:r w:rsidRPr="006E5E24">
        <w:rPr>
          <w:rFonts w:cs="Tahoma"/>
          <w:sz w:val="16"/>
          <w:szCs w:val="16"/>
        </w:rPr>
        <w:t xml:space="preserve"> cost-sharing expenditures for people affected by this model policy would mirror those of current QMBs. The new per-person cost-sharing expenses are likely much lower.</w:t>
      </w:r>
    </w:p>
  </w:endnote>
  <w:endnote w:id="77">
    <w:p w14:paraId="6188804D"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New Part A and B premiums costs for QMBs are federally funded at the standard FMAP rate. In 2025, individuals with less than 30 Social Security work quarters pay the full Part A premium of $565/mo., and individuals with at least 30 quarters pay a reduced</w:t>
      </w:r>
      <w:r w:rsidRPr="006E5E24" w:rsidDel="00326812">
        <w:rPr>
          <w:rFonts w:cs="Tahoma"/>
          <w:sz w:val="16"/>
          <w:szCs w:val="16"/>
        </w:rPr>
        <w:t xml:space="preserve"> </w:t>
      </w:r>
      <w:r w:rsidRPr="006E5E24">
        <w:rPr>
          <w:rFonts w:cs="Tahoma"/>
          <w:sz w:val="16"/>
          <w:szCs w:val="16"/>
        </w:rPr>
        <w:t>Part A premium of $311/mo.</w:t>
      </w:r>
      <w:r w:rsidRPr="006E5E24" w:rsidDel="000000A2">
        <w:rPr>
          <w:rFonts w:cs="Tahoma"/>
          <w:sz w:val="16"/>
          <w:szCs w:val="16"/>
        </w:rPr>
        <w:t xml:space="preserve"> </w:t>
      </w:r>
      <w:r w:rsidRPr="006E5E24">
        <w:rPr>
          <w:rFonts w:cs="Tahoma"/>
          <w:sz w:val="16"/>
          <w:szCs w:val="16"/>
        </w:rPr>
        <w:t>According to CMS, 99% of all Medicare beneficiaries do not pay a premium for Part A since they have at least 40 quarters (ten years) of Social Security work credits. See CMS, Manual for the State Payment of Medicare Premiums, chapter 1, section 1.9. CMS, “2026 Medicare Parts A &amp; B Premiums and Deductibles.”</w:t>
      </w:r>
    </w:p>
  </w:endnote>
  <w:endnote w:id="78">
    <w:p w14:paraId="4CAEFC9D"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Florez, Giovanni, Derek Ayeh, and Beth Shyken-Rothbart. </w:t>
      </w:r>
      <w:r w:rsidRPr="006E5E24">
        <w:rPr>
          <w:rFonts w:cs="Tahoma"/>
          <w:i/>
          <w:iCs/>
          <w:sz w:val="16"/>
          <w:szCs w:val="16"/>
        </w:rPr>
        <w:t>Increasing Access to Medicare Savings Programs: Lessons Learned and Policy Recommendations from New York</w:t>
      </w:r>
      <w:r w:rsidRPr="006E5E24">
        <w:rPr>
          <w:rFonts w:cs="Tahoma"/>
          <w:sz w:val="16"/>
          <w:szCs w:val="16"/>
        </w:rPr>
        <w:t xml:space="preserve">. Medicare Rights Center, 2023. </w:t>
      </w:r>
      <w:hyperlink r:id="rId94" w:history="1">
        <w:r w:rsidRPr="006E5E24">
          <w:rPr>
            <w:rStyle w:val="Hyperlink"/>
            <w:rFonts w:cs="Tahoma"/>
            <w:sz w:val="16"/>
            <w:szCs w:val="16"/>
          </w:rPr>
          <w:t>https://docs.google.com/viewerng/viewer?url=https://www.medicarerights.org/pdf/msp-expansion-brief-ny-2023.pdf</w:t>
        </w:r>
      </w:hyperlink>
      <w:r w:rsidRPr="006E5E24">
        <w:rPr>
          <w:rFonts w:cs="Tahoma"/>
          <w:sz w:val="16"/>
          <w:szCs w:val="16"/>
        </w:rPr>
        <w:t xml:space="preserve">.; Langweil, Nolan, Patrick Titterton, and Ted Barnett. “H.721 – An Act Relating to Expanding Access to Medicaid and Dr. </w:t>
      </w:r>
      <w:proofErr w:type="spellStart"/>
      <w:r w:rsidRPr="006E5E24">
        <w:rPr>
          <w:rFonts w:cs="Tahoma"/>
          <w:sz w:val="16"/>
          <w:szCs w:val="16"/>
        </w:rPr>
        <w:t>Dynasaur</w:t>
      </w:r>
      <w:proofErr w:type="spellEnd"/>
      <w:r w:rsidRPr="006E5E24">
        <w:rPr>
          <w:rFonts w:cs="Tahoma"/>
          <w:sz w:val="16"/>
          <w:szCs w:val="16"/>
        </w:rPr>
        <w:t xml:space="preserve">.” Vermont Legislative Joint Fiscal Office, April 3, 2024. </w:t>
      </w:r>
      <w:hyperlink r:id="rId95" w:history="1">
        <w:r w:rsidRPr="006E5E24">
          <w:rPr>
            <w:rStyle w:val="Hyperlink"/>
            <w:rFonts w:cs="Tahoma"/>
            <w:sz w:val="16"/>
            <w:szCs w:val="16"/>
          </w:rPr>
          <w:t>https://ljfo.vermont.gov/assets/Publications/2023-2024-House-BIlls/c8a3ca8d83/GENERAL-374922-v9-2024_H_721_Medicaid_Expansion-HOUSE-PASSED.pdf</w:t>
        </w:r>
      </w:hyperlink>
      <w:r w:rsidRPr="006E5E24">
        <w:rPr>
          <w:rFonts w:cs="Tahoma"/>
          <w:sz w:val="16"/>
          <w:szCs w:val="16"/>
        </w:rPr>
        <w:t>.</w:t>
      </w:r>
    </w:p>
  </w:endnote>
  <w:endnote w:id="79">
    <w:p w14:paraId="701DE96D" w14:textId="77777777" w:rsidR="00EF5B11" w:rsidRPr="006E5E24" w:rsidRDefault="00EF5B11"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Pallis et al., “Long-Term Changes in Health Care Use and Outcomes Among Groups Maintaining Versus Losing Medicaid Upon Medicare Enrollment.”</w:t>
      </w:r>
    </w:p>
  </w:endnote>
  <w:endnote w:id="80">
    <w:p w14:paraId="5BB64527" w14:textId="77777777" w:rsidR="005E7606" w:rsidRPr="006E5E24" w:rsidRDefault="005E7606" w:rsidP="006E5E24">
      <w:pPr>
        <w:pStyle w:val="EndnoteText"/>
        <w:rPr>
          <w:rFonts w:cs="Tahoma"/>
          <w:sz w:val="16"/>
          <w:szCs w:val="16"/>
        </w:rPr>
      </w:pPr>
      <w:r w:rsidRPr="006E5E24">
        <w:rPr>
          <w:rFonts w:cs="Tahoma"/>
          <w:b/>
          <w:sz w:val="16"/>
          <w:szCs w:val="16"/>
        </w:rPr>
        <w:t>Explanatory notes and citations</w:t>
      </w:r>
    </w:p>
    <w:p w14:paraId="7A87C82C"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Richardson, Sally K. “Medicaid Eligibility-Policy Governing Family Size in Determining Eligibility for Qualified Medicare Beneficiaries and Specified Low Income Beneficiaries.” Department of Health &amp; Human Services, Center for Medicaid and State Operations, October 2, 1997. </w:t>
      </w:r>
      <w:hyperlink r:id="rId96" w:history="1">
        <w:r w:rsidRPr="006E5E24">
          <w:rPr>
            <w:rStyle w:val="Hyperlink"/>
            <w:rFonts w:cs="Tahoma"/>
            <w:sz w:val="16"/>
            <w:szCs w:val="16"/>
          </w:rPr>
          <w:t>https://www.medicaid.gov/sites/default/files/2019-12/medicaid-eligibilty-memo.pdf</w:t>
        </w:r>
      </w:hyperlink>
      <w:r w:rsidRPr="006E5E24">
        <w:rPr>
          <w:rFonts w:cs="Tahoma"/>
          <w:sz w:val="16"/>
          <w:szCs w:val="16"/>
        </w:rPr>
        <w:t>.</w:t>
      </w:r>
    </w:p>
  </w:endnote>
  <w:endnote w:id="81">
    <w:p w14:paraId="0E5ACBFD" w14:textId="77777777" w:rsidR="005E7606" w:rsidRPr="006E5E24" w:rsidRDefault="005E7606"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Florida Department of Children and Families, </w:t>
      </w:r>
      <w:r w:rsidRPr="006E5E24">
        <w:rPr>
          <w:rFonts w:cs="Tahoma"/>
          <w:i/>
          <w:iCs/>
          <w:sz w:val="16"/>
          <w:szCs w:val="16"/>
        </w:rPr>
        <w:t>ESS Program Policy Manual</w:t>
      </w:r>
      <w:r w:rsidRPr="006E5E24">
        <w:rPr>
          <w:rFonts w:cs="Tahoma"/>
          <w:sz w:val="16"/>
          <w:szCs w:val="16"/>
        </w:rPr>
        <w:t>, Standard Filing Unit,</w:t>
      </w:r>
    </w:p>
    <w:p w14:paraId="4C506A2C" w14:textId="77777777" w:rsidR="005E7606" w:rsidRPr="006E5E24" w:rsidRDefault="005E7606" w:rsidP="006E5E24">
      <w:pPr>
        <w:pStyle w:val="EndnoteText"/>
        <w:rPr>
          <w:rFonts w:cs="Tahoma"/>
          <w:sz w:val="16"/>
          <w:szCs w:val="16"/>
        </w:rPr>
      </w:pPr>
      <w:proofErr w:type="gramStart"/>
      <w:r w:rsidRPr="006E5E24">
        <w:rPr>
          <w:rFonts w:cs="Tahoma"/>
          <w:sz w:val="16"/>
          <w:szCs w:val="16"/>
          <w:lang w:val="fr-FR"/>
        </w:rPr>
        <w:t>section</w:t>
      </w:r>
      <w:proofErr w:type="gramEnd"/>
      <w:r w:rsidRPr="006E5E24">
        <w:rPr>
          <w:rFonts w:cs="Tahoma"/>
          <w:sz w:val="16"/>
          <w:szCs w:val="16"/>
          <w:lang w:val="fr-FR"/>
        </w:rPr>
        <w:t xml:space="preserve"> 2240.0606.05, </w:t>
      </w:r>
      <w:r>
        <w:fldChar w:fldCharType="begin"/>
      </w:r>
      <w:r w:rsidRPr="00B7518C">
        <w:rPr>
          <w:lang w:val="fr-FR"/>
        </w:rPr>
        <w:instrText>HYPERLINK "https://ffic.myflfamilies.com/manual/2200.pdf"</w:instrText>
      </w:r>
      <w:r>
        <w:fldChar w:fldCharType="separate"/>
      </w:r>
      <w:r w:rsidRPr="006E5E24">
        <w:rPr>
          <w:rStyle w:val="Hyperlink"/>
          <w:rFonts w:cs="Tahoma"/>
          <w:sz w:val="16"/>
          <w:szCs w:val="16"/>
          <w:lang w:val="fr-FR"/>
        </w:rPr>
        <w:t>https://ffic.myflfamilies.com/manual/2200.pdf</w:t>
      </w:r>
      <w:r>
        <w:fldChar w:fldCharType="end"/>
      </w:r>
      <w:r w:rsidRPr="006E5E24">
        <w:rPr>
          <w:rFonts w:cs="Tahoma"/>
          <w:sz w:val="16"/>
          <w:szCs w:val="16"/>
          <w:lang w:val="fr-FR"/>
        </w:rPr>
        <w:t xml:space="preserve">. </w:t>
      </w:r>
      <w:r w:rsidRPr="006E5E24">
        <w:rPr>
          <w:rFonts w:cs="Tahoma"/>
          <w:sz w:val="16"/>
          <w:szCs w:val="16"/>
        </w:rPr>
        <w:t xml:space="preserve">Based on our review of state eligibility manuals, it appears that at least five states (Pennsylvania, North Dakota, Ohio, Oregon and Tennessee) include certain minor household dependents in the MSP family size definition in addition to the applicant and their spouse. </w:t>
      </w:r>
    </w:p>
  </w:endnote>
  <w:endnote w:id="82">
    <w:p w14:paraId="505A8852" w14:textId="77777777" w:rsidR="007B5EB8" w:rsidRPr="006E5E24" w:rsidRDefault="007B5EB8"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For example, in 2026, a 40-year-old Medicare-enrolled single mother in Florida with three children receiving a Social Security Disability Insurance payment of $2,100 per month is ineligible for full-benefit Medicaid for parents and other caretakers, which has an income limit of $585 per month for a family of four. However, because Florida includes children in MSP household size calculations, she qualifies as a QMB with a monthly income limit of $2,750 for a family of four. If Florida did not count the children, she would not qualify for any MSPs, as the income limit for QI is only $1,816 for a single person. See Florida Department of Children and Families, “Family Related Medicaid Income Limits,” Appendix A-7, </w:t>
      </w:r>
      <w:hyperlink r:id="rId97">
        <w:r w:rsidRPr="006E5E24">
          <w:rPr>
            <w:rStyle w:val="Hyperlink"/>
            <w:rFonts w:cs="Tahoma"/>
            <w:sz w:val="16"/>
            <w:szCs w:val="16"/>
          </w:rPr>
          <w:t>https://www.myflfamilies.com/sites/default/files/2025-05/Appendix_A-7-Family-Related_Medicaid_Income_Limit_Chart.pdf</w:t>
        </w:r>
      </w:hyperlink>
      <w:r w:rsidRPr="006E5E24">
        <w:rPr>
          <w:rFonts w:cs="Tahoma"/>
          <w:sz w:val="16"/>
          <w:szCs w:val="16"/>
        </w:rPr>
        <w:t xml:space="preserve">; U.S. Department of Health and Human Services, Office of the Assistant Secretary for Planning and Evaluation, “2026 Poverty Guidelines: 48 Contiguous States (All states except Alaska and Hawaii),” 2026, </w:t>
      </w:r>
      <w:hyperlink r:id="rId98" w:history="1">
        <w:r w:rsidRPr="006E5E24">
          <w:rPr>
            <w:rStyle w:val="Hyperlink"/>
            <w:rFonts w:cs="Tahoma"/>
            <w:sz w:val="16"/>
            <w:szCs w:val="16"/>
          </w:rPr>
          <w:t>https://aspe.hhs.gov/sites/default/files/documents/b1bfa16b20ae9b89d525bc35de7c1643/detailed-guidelines-2026.pdf</w:t>
        </w:r>
      </w:hyperlink>
      <w:r w:rsidRPr="006E5E24">
        <w:rPr>
          <w:rFonts w:cs="Tahoma"/>
          <w:sz w:val="16"/>
          <w:szCs w:val="16"/>
        </w:rPr>
        <w:t xml:space="preserve">. </w:t>
      </w:r>
    </w:p>
  </w:endnote>
  <w:endnote w:id="83">
    <w:p w14:paraId="5155BE0F" w14:textId="77777777" w:rsidR="00091544" w:rsidRPr="00E16326" w:rsidRDefault="00091544" w:rsidP="00091544">
      <w:pPr>
        <w:pStyle w:val="EndnoteText"/>
        <w:rPr>
          <w:rFonts w:cs="Tahoma"/>
          <w:sz w:val="16"/>
          <w:szCs w:val="16"/>
        </w:rPr>
      </w:pPr>
      <w:r w:rsidRPr="00E16326">
        <w:rPr>
          <w:rStyle w:val="EndnoteReference"/>
          <w:sz w:val="16"/>
          <w:szCs w:val="16"/>
        </w:rPr>
        <w:endnoteRef/>
      </w:r>
      <w:r w:rsidRPr="00E16326">
        <w:rPr>
          <w:sz w:val="16"/>
          <w:szCs w:val="16"/>
        </w:rPr>
        <w:t xml:space="preserve"> </w:t>
      </w:r>
      <w:r w:rsidRPr="00E16326">
        <w:rPr>
          <w:rFonts w:cs="Tahoma"/>
          <w:sz w:val="16"/>
          <w:szCs w:val="16"/>
        </w:rPr>
        <w:t xml:space="preserve">“‘Jennifer’ Transcript,” The People Say, 2025, </w:t>
      </w:r>
      <w:hyperlink r:id="rId99" w:history="1">
        <w:r w:rsidRPr="00E16326">
          <w:rPr>
            <w:rStyle w:val="Hyperlink"/>
            <w:sz w:val="16"/>
            <w:szCs w:val="16"/>
          </w:rPr>
          <w:t>https://thepeoplesay.org/transcripts/show/jennifer-july-2025</w:t>
        </w:r>
      </w:hyperlink>
      <w:r w:rsidRPr="00E16326">
        <w:rPr>
          <w:rFonts w:cs="Tahoma"/>
          <w:sz w:val="16"/>
          <w:szCs w:val="16"/>
        </w:rPr>
        <w:t xml:space="preserve">. </w:t>
      </w:r>
    </w:p>
  </w:endnote>
  <w:endnote w:id="84">
    <w:p w14:paraId="3C2C937F"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w:t>
      </w:r>
      <w:proofErr w:type="spellStart"/>
      <w:r w:rsidRPr="00E16326">
        <w:rPr>
          <w:rFonts w:cs="Tahoma"/>
          <w:sz w:val="16"/>
          <w:szCs w:val="16"/>
        </w:rPr>
        <w:t>D’Vera</w:t>
      </w:r>
      <w:proofErr w:type="spellEnd"/>
      <w:r w:rsidRPr="00E16326">
        <w:rPr>
          <w:rFonts w:cs="Tahoma"/>
          <w:sz w:val="16"/>
          <w:szCs w:val="16"/>
        </w:rPr>
        <w:t xml:space="preserve"> Cohn et al., Financial Issues Top the List of Reasons U.S. Adults Live in Multigenerational Homes (Pew Research Center, 2022), </w:t>
      </w:r>
      <w:hyperlink r:id="rId100" w:history="1">
        <w:r w:rsidRPr="00E16326">
          <w:rPr>
            <w:rStyle w:val="Hyperlink"/>
            <w:rFonts w:cs="Tahoma"/>
            <w:sz w:val="16"/>
            <w:szCs w:val="16"/>
          </w:rPr>
          <w:t>https://www.pewresearch.org/wp-content/uploads/sites/20/2022/03/PSDT_03.24.22_multigenerationalhouseholds.report.pdf</w:t>
        </w:r>
      </w:hyperlink>
      <w:r w:rsidRPr="00E16326">
        <w:rPr>
          <w:rFonts w:cs="Tahoma"/>
          <w:sz w:val="16"/>
          <w:szCs w:val="16"/>
        </w:rPr>
        <w:t xml:space="preserve">. </w:t>
      </w:r>
    </w:p>
  </w:endnote>
  <w:endnote w:id="85">
    <w:p w14:paraId="15234395"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Research </w:t>
      </w:r>
      <w:proofErr w:type="gramStart"/>
      <w:r w:rsidRPr="00E16326">
        <w:rPr>
          <w:rFonts w:cs="Tahoma"/>
          <w:sz w:val="16"/>
          <w:szCs w:val="16"/>
        </w:rPr>
        <w:t>associates</w:t>
      </w:r>
      <w:proofErr w:type="gramEnd"/>
      <w:r w:rsidRPr="00E16326">
        <w:rPr>
          <w:rFonts w:cs="Tahoma"/>
          <w:sz w:val="16"/>
          <w:szCs w:val="16"/>
        </w:rPr>
        <w:t xml:space="preserve"> ineligibility for QMB among individuals above the poverty level to racial and ethnic disparities in health care use and access. Eric T. Roberts et al., “Racial and Ethnic Disparities in Health Care Use and Access Associated </w:t>
      </w:r>
      <w:proofErr w:type="gramStart"/>
      <w:r w:rsidRPr="00E16326">
        <w:rPr>
          <w:rFonts w:cs="Tahoma"/>
          <w:sz w:val="16"/>
          <w:szCs w:val="16"/>
        </w:rPr>
        <w:t>With</w:t>
      </w:r>
      <w:proofErr w:type="gramEnd"/>
      <w:r w:rsidRPr="00E16326">
        <w:rPr>
          <w:rFonts w:cs="Tahoma"/>
          <w:sz w:val="16"/>
          <w:szCs w:val="16"/>
        </w:rPr>
        <w:t xml:space="preserve"> Loss of Medicaid Supplemental Insurance Eligibility Above the Federal Poverty Level,” </w:t>
      </w:r>
      <w:r w:rsidRPr="00E16326">
        <w:rPr>
          <w:rFonts w:cs="Tahoma"/>
          <w:i/>
          <w:iCs/>
          <w:sz w:val="16"/>
          <w:szCs w:val="16"/>
        </w:rPr>
        <w:t>JAMA Internal Medicine</w:t>
      </w:r>
      <w:r w:rsidRPr="00E16326">
        <w:rPr>
          <w:rFonts w:cs="Tahoma"/>
          <w:sz w:val="16"/>
          <w:szCs w:val="16"/>
        </w:rPr>
        <w:t xml:space="preserve"> 183, no. 6 (2023): 534-4 </w:t>
      </w:r>
      <w:hyperlink r:id="rId101" w:history="1">
        <w:r w:rsidRPr="00E16326">
          <w:rPr>
            <w:rStyle w:val="Hyperlink"/>
            <w:rFonts w:cs="Tahoma"/>
            <w:sz w:val="16"/>
            <w:szCs w:val="16"/>
          </w:rPr>
          <w:t>https://doi.org/10.1001/jamainternmed.2023.0512</w:t>
        </w:r>
      </w:hyperlink>
      <w:r w:rsidRPr="00E16326">
        <w:rPr>
          <w:rFonts w:cs="Tahoma"/>
          <w:sz w:val="16"/>
          <w:szCs w:val="16"/>
        </w:rPr>
        <w:t xml:space="preserve">. </w:t>
      </w:r>
    </w:p>
  </w:endnote>
  <w:endnote w:id="86">
    <w:p w14:paraId="04E479CF"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“Streamlining Medicaid; Medicare Savings Program Eligibility Determination and Enrollment,” [hereinafter “CMS 2023 MSP Final Rule”] Federal Register, Vol. 88, No. 182 (September 21, 2023): 65230, 65235,  </w:t>
      </w:r>
      <w:hyperlink r:id="rId102" w:history="1">
        <w:r w:rsidRPr="00E16326">
          <w:rPr>
            <w:rStyle w:val="Hyperlink"/>
            <w:rFonts w:cs="Tahoma"/>
            <w:sz w:val="16"/>
            <w:szCs w:val="16"/>
          </w:rPr>
          <w:t>https://www.federalregister.gov/documents/2023/09/21/2023-20382/streamlining-medicaid-medicare-savings-program-eligibility-determination-and-enrollment</w:t>
        </w:r>
      </w:hyperlink>
      <w:r w:rsidRPr="00E16326">
        <w:rPr>
          <w:rFonts w:cs="Tahoma"/>
          <w:sz w:val="16"/>
          <w:szCs w:val="16"/>
        </w:rPr>
        <w:t>.</w:t>
      </w:r>
    </w:p>
  </w:endnote>
  <w:endnote w:id="87">
    <w:p w14:paraId="4C21A309"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w:t>
      </w:r>
      <w:r w:rsidRPr="00E16326">
        <w:rPr>
          <w:rFonts w:cs="Tahoma"/>
          <w:i/>
          <w:iCs/>
          <w:sz w:val="16"/>
          <w:szCs w:val="16"/>
        </w:rPr>
        <w:t>Working Families ‘Tax Cut’ Legislation, Public Law 119-21: Summary of Medicaid and Children’s Health Insurance Program (CHIP) Related Provisions</w:t>
      </w:r>
      <w:r w:rsidRPr="00E16326">
        <w:rPr>
          <w:rFonts w:cs="Tahoma"/>
          <w:sz w:val="16"/>
          <w:szCs w:val="16"/>
        </w:rPr>
        <w:t xml:space="preserve">, CMCS Informational Bulletin, November 18, 2025, Appendix E, page 33, </w:t>
      </w:r>
      <w:hyperlink r:id="rId103" w:history="1">
        <w:r w:rsidRPr="00E16326">
          <w:rPr>
            <w:rStyle w:val="Hyperlink"/>
            <w:rFonts w:cs="Tahoma"/>
            <w:sz w:val="16"/>
            <w:szCs w:val="16"/>
          </w:rPr>
          <w:t>https://www.medicaid.gov/federal-policy-guidance/downloads/cib11182025.pdf</w:t>
        </w:r>
      </w:hyperlink>
      <w:r w:rsidRPr="00E16326">
        <w:rPr>
          <w:rFonts w:cs="Tahoma"/>
          <w:sz w:val="16"/>
          <w:szCs w:val="16"/>
        </w:rPr>
        <w:t xml:space="preserve">.  </w:t>
      </w:r>
    </w:p>
  </w:endnote>
  <w:endnote w:id="88">
    <w:p w14:paraId="417869E2" w14:textId="65254B14" w:rsidR="007B5EB8" w:rsidRPr="00E16326" w:rsidRDefault="007B5EB8" w:rsidP="006E5E24">
      <w:pPr>
        <w:spacing w:after="0"/>
        <w:rPr>
          <w:rFonts w:cs="Tahoma"/>
          <w:sz w:val="16"/>
          <w:szCs w:val="16"/>
        </w:rPr>
      </w:pPr>
      <w:r w:rsidRPr="00E16326">
        <w:rPr>
          <w:rStyle w:val="EndnoteReference"/>
          <w:rFonts w:cs="Tahoma"/>
          <w:sz w:val="16"/>
          <w:szCs w:val="16"/>
        </w:rPr>
        <w:endnoteRef/>
      </w:r>
      <w:r w:rsidRPr="00E16326">
        <w:rPr>
          <w:rFonts w:cs="Tahoma"/>
          <w:sz w:val="16"/>
          <w:szCs w:val="16"/>
        </w:rPr>
        <w:t xml:space="preserve"> Centers for Medicare &amp; Medicaid Services (CMS), “Chapter 1: Program Overview and Policy,” </w:t>
      </w:r>
      <w:r w:rsidRPr="00E16326">
        <w:rPr>
          <w:rFonts w:cs="Tahoma"/>
          <w:i/>
          <w:iCs/>
          <w:sz w:val="16"/>
          <w:szCs w:val="16"/>
        </w:rPr>
        <w:t>Manual for the State Payment of Medicare Premiums</w:t>
      </w:r>
      <w:r w:rsidRPr="00E16326">
        <w:rPr>
          <w:rFonts w:cs="Tahoma"/>
          <w:sz w:val="16"/>
          <w:szCs w:val="16"/>
        </w:rPr>
        <w:t xml:space="preserve">, Pub. 100-24, section 1.9, </w:t>
      </w:r>
      <w:hyperlink r:id="rId104" w:history="1">
        <w:r w:rsidRPr="00E16326">
          <w:rPr>
            <w:rStyle w:val="Hyperlink"/>
            <w:rFonts w:cs="Tahoma"/>
            <w:sz w:val="16"/>
            <w:szCs w:val="16"/>
          </w:rPr>
          <w:t>https://www.cms.gov/files/document/chapter-1-program-overview-and-policy.pdf</w:t>
        </w:r>
      </w:hyperlink>
      <w:r w:rsidRPr="00E16326">
        <w:rPr>
          <w:rFonts w:cs="Tahoma"/>
          <w:sz w:val="16"/>
          <w:szCs w:val="16"/>
        </w:rPr>
        <w:t>.</w:t>
      </w:r>
    </w:p>
  </w:endnote>
  <w:endnote w:id="89">
    <w:p w14:paraId="4382E63B"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2023 MSP Final Rule, 88 Fed. Reg. 65265.</w:t>
      </w:r>
    </w:p>
  </w:endnote>
  <w:endnote w:id="90">
    <w:p w14:paraId="0FC74B31"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CMS, Working Families ‘Tax Cut’ Legislation, Appendix E, page 33. </w:t>
      </w:r>
    </w:p>
  </w:endnote>
  <w:endnote w:id="91">
    <w:p w14:paraId="61CBF05A"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SSA, “Understanding the Extra Help with Your Medicare Prescription Drug Plan,” January 2026, </w:t>
      </w:r>
      <w:hyperlink r:id="rId105" w:history="1">
        <w:r w:rsidRPr="00E16326">
          <w:rPr>
            <w:rStyle w:val="Hyperlink"/>
            <w:rFonts w:cs="Tahoma"/>
            <w:sz w:val="16"/>
            <w:szCs w:val="16"/>
          </w:rPr>
          <w:t>https://www.ssa.gov/pubs/EN-05-10508.pdf</w:t>
        </w:r>
      </w:hyperlink>
      <w:r w:rsidRPr="00E16326">
        <w:rPr>
          <w:rFonts w:cs="Tahoma"/>
          <w:sz w:val="16"/>
          <w:szCs w:val="16"/>
        </w:rPr>
        <w:t xml:space="preserve">. </w:t>
      </w:r>
    </w:p>
  </w:endnote>
  <w:endnote w:id="92">
    <w:p w14:paraId="67D0870F"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Each figure derived from tables, dividing by 12 and adding the standard $20/month income disregard, at “2026 Poverty Guidelines: 48 Contiguous States (All States except Alaska and Hawaii).”</w:t>
      </w:r>
    </w:p>
  </w:endnote>
  <w:endnote w:id="93">
    <w:p w14:paraId="45DA2689"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w:t>
      </w:r>
      <w:r w:rsidRPr="00E16326">
        <w:rPr>
          <w:rFonts w:cs="Tahoma"/>
          <w:i/>
          <w:iCs/>
          <w:sz w:val="16"/>
          <w:szCs w:val="16"/>
        </w:rPr>
        <w:t>Relatives Raising Children: Federal Support Helps, but Challenges Persist</w:t>
      </w:r>
      <w:r w:rsidRPr="00E16326">
        <w:rPr>
          <w:rFonts w:cs="Tahoma"/>
          <w:sz w:val="16"/>
          <w:szCs w:val="16"/>
        </w:rPr>
        <w:t xml:space="preserve">, GAO-26-107658 (U.S. Government Accountability Office, 2025), </w:t>
      </w:r>
      <w:hyperlink r:id="rId106" w:history="1">
        <w:r w:rsidRPr="00E16326">
          <w:rPr>
            <w:rStyle w:val="Hyperlink"/>
            <w:rFonts w:cs="Tahoma"/>
            <w:sz w:val="16"/>
            <w:szCs w:val="16"/>
          </w:rPr>
          <w:t>https://www.gao.gov/assets/gao-26-107658.pdf</w:t>
        </w:r>
      </w:hyperlink>
      <w:r w:rsidRPr="00E16326">
        <w:rPr>
          <w:rFonts w:cs="Tahoma"/>
          <w:sz w:val="16"/>
          <w:szCs w:val="16"/>
        </w:rPr>
        <w:t>.</w:t>
      </w:r>
    </w:p>
  </w:endnote>
  <w:endnote w:id="94">
    <w:p w14:paraId="5D0538AC"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G. T. Fujiura, in </w:t>
      </w:r>
      <w:r w:rsidRPr="00E16326">
        <w:rPr>
          <w:rFonts w:cs="Tahoma"/>
          <w:i/>
          <w:iCs/>
          <w:sz w:val="16"/>
          <w:szCs w:val="16"/>
        </w:rPr>
        <w:t>Structure of Intellectual and Developmental Disabilities Households in the United States: Demographics of the Family in 2010</w:t>
      </w:r>
      <w:r w:rsidRPr="00E16326">
        <w:rPr>
          <w:rFonts w:cs="Tahoma"/>
          <w:sz w:val="16"/>
          <w:szCs w:val="16"/>
        </w:rPr>
        <w:t xml:space="preserve">, AAIDD 136th Annual Meeting, Charlotte, NC, 2012; Chuck Marr et al., </w:t>
      </w:r>
      <w:r w:rsidRPr="00E16326">
        <w:rPr>
          <w:rFonts w:cs="Tahoma"/>
          <w:i/>
          <w:iCs/>
          <w:sz w:val="16"/>
          <w:szCs w:val="16"/>
        </w:rPr>
        <w:t>Future Stimulus Should Include Immigrants and Dependents Previously Left Out, Mandate Automatic Payments</w:t>
      </w:r>
      <w:r w:rsidRPr="00E16326">
        <w:rPr>
          <w:rFonts w:cs="Tahoma"/>
          <w:sz w:val="16"/>
          <w:szCs w:val="16"/>
        </w:rPr>
        <w:t xml:space="preserve"> (Center on Budget and Policy Priorities, 2020), </w:t>
      </w:r>
      <w:hyperlink r:id="rId107" w:history="1">
        <w:r w:rsidRPr="00E16326">
          <w:rPr>
            <w:rStyle w:val="Hyperlink"/>
            <w:rFonts w:cs="Tahoma"/>
            <w:sz w:val="16"/>
            <w:szCs w:val="16"/>
          </w:rPr>
          <w:t>https://www.cbpp.org/sites/default/files/atoms/files/5-6-20econ.pdf</w:t>
        </w:r>
      </w:hyperlink>
      <w:r w:rsidRPr="00E16326">
        <w:rPr>
          <w:rFonts w:cs="Tahoma"/>
          <w:sz w:val="16"/>
          <w:szCs w:val="16"/>
        </w:rPr>
        <w:t>.</w:t>
      </w:r>
    </w:p>
  </w:endnote>
  <w:endnote w:id="95">
    <w:p w14:paraId="2C5C15B2" w14:textId="77777777" w:rsidR="007B5EB8" w:rsidRPr="00E16326"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“Grandchildren Being Raised by Grandparents,” U.S. Department of Labor, </w:t>
      </w:r>
      <w:hyperlink r:id="rId108" w:history="1">
        <w:r w:rsidRPr="00E16326">
          <w:rPr>
            <w:rStyle w:val="Hyperlink"/>
            <w:rFonts w:cs="Tahoma"/>
            <w:sz w:val="16"/>
            <w:szCs w:val="16"/>
          </w:rPr>
          <w:t>https://www.dol.gov/agencies/wb/topics/grandparents-raising-grandkids</w:t>
        </w:r>
      </w:hyperlink>
      <w:r w:rsidRPr="00E16326">
        <w:rPr>
          <w:rFonts w:cs="Tahoma"/>
          <w:sz w:val="16"/>
          <w:szCs w:val="16"/>
        </w:rPr>
        <w:t>; “</w:t>
      </w:r>
      <w:proofErr w:type="spellStart"/>
      <w:r w:rsidRPr="00E16326">
        <w:rPr>
          <w:rFonts w:cs="Tahoma"/>
          <w:sz w:val="16"/>
          <w:szCs w:val="16"/>
        </w:rPr>
        <w:t>GrandFacts</w:t>
      </w:r>
      <w:proofErr w:type="spellEnd"/>
      <w:r w:rsidRPr="00E16326">
        <w:rPr>
          <w:rFonts w:cs="Tahoma"/>
          <w:sz w:val="16"/>
          <w:szCs w:val="16"/>
        </w:rPr>
        <w:t xml:space="preserve">: Fact Sheets,” Grandfamilies &amp; Kinship Support Network, </w:t>
      </w:r>
      <w:hyperlink r:id="rId109" w:history="1">
        <w:r w:rsidRPr="00E16326">
          <w:rPr>
            <w:rStyle w:val="Hyperlink"/>
            <w:rFonts w:cs="Tahoma"/>
            <w:sz w:val="16"/>
            <w:szCs w:val="16"/>
          </w:rPr>
          <w:t>https://www.gksnetwork.org/grandfacts-fact-sheets</w:t>
        </w:r>
      </w:hyperlink>
      <w:r w:rsidRPr="00E16326">
        <w:rPr>
          <w:rFonts w:cs="Tahoma"/>
          <w:sz w:val="16"/>
          <w:szCs w:val="16"/>
        </w:rPr>
        <w:t>.</w:t>
      </w:r>
    </w:p>
  </w:endnote>
  <w:endnote w:id="96">
    <w:p w14:paraId="63B92720" w14:textId="3DB61832" w:rsidR="007B5EB8" w:rsidRDefault="007B5EB8"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CMS, “Streamlining Medicaid; Medicare Savings Program Eligibility Determination and Enrollment,” Federal Register, Vol. 88, No. 182 (September 21,</w:t>
      </w:r>
      <w:r w:rsidRPr="006E5E24">
        <w:rPr>
          <w:rFonts w:cs="Tahoma"/>
          <w:sz w:val="16"/>
          <w:szCs w:val="16"/>
        </w:rPr>
        <w:t xml:space="preserve"> 2023): 65230, 65248, </w:t>
      </w:r>
      <w:hyperlink r:id="rId110" w:history="1">
        <w:r w:rsidRPr="006E5E24">
          <w:rPr>
            <w:rStyle w:val="Hyperlink"/>
            <w:rFonts w:cs="Tahoma"/>
            <w:sz w:val="16"/>
            <w:szCs w:val="16"/>
          </w:rPr>
          <w:t>https://www.federalregister.gov/documents/2023/09/21/2023-20382/streamlining-medicaid-medicare-savings-program-eligibility-determination-and-enrollment</w:t>
        </w:r>
      </w:hyperlink>
      <w:r w:rsidRPr="006E5E24">
        <w:rPr>
          <w:rFonts w:cs="Tahoma"/>
          <w:sz w:val="16"/>
          <w:szCs w:val="16"/>
        </w:rPr>
        <w:t>. (</w:t>
      </w:r>
      <w:r w:rsidR="001D5CB8">
        <w:rPr>
          <w:rFonts w:cs="Tahoma"/>
          <w:sz w:val="16"/>
          <w:szCs w:val="16"/>
        </w:rPr>
        <w:t>“</w:t>
      </w:r>
      <w:r w:rsidRPr="006E5E24">
        <w:rPr>
          <w:rFonts w:cs="Tahoma"/>
          <w:sz w:val="16"/>
          <w:szCs w:val="16"/>
        </w:rPr>
        <w:t>Regarding the concern about the deeming to MSP applicants or enrollees the income of relatives or dependents, we note that preexisting non-MAGI deeming rules, under section 1902(a)(17)(D) of the Act and §435.602(a)(2)(</w:t>
      </w:r>
      <w:proofErr w:type="spellStart"/>
      <w:r w:rsidRPr="006E5E24">
        <w:rPr>
          <w:rFonts w:cs="Tahoma"/>
          <w:sz w:val="16"/>
          <w:szCs w:val="16"/>
        </w:rPr>
        <w:t>i</w:t>
      </w:r>
      <w:proofErr w:type="spellEnd"/>
      <w:r w:rsidRPr="006E5E24">
        <w:rPr>
          <w:rFonts w:cs="Tahoma"/>
          <w:sz w:val="16"/>
          <w:szCs w:val="16"/>
        </w:rPr>
        <w:t xml:space="preserve">), prohibit </w:t>
      </w:r>
      <w:r w:rsidR="001D5CB8">
        <w:rPr>
          <w:rFonts w:cs="Tahoma"/>
          <w:sz w:val="16"/>
          <w:szCs w:val="16"/>
        </w:rPr>
        <w:t>S</w:t>
      </w:r>
      <w:r w:rsidRPr="006E5E24">
        <w:rPr>
          <w:rFonts w:cs="Tahoma"/>
          <w:sz w:val="16"/>
          <w:szCs w:val="16"/>
        </w:rPr>
        <w:t>tates from deeming to an applicant the income or resources of anyone who is not the spouse or parent of that individual. Thus, although the proposal to use the definition of ‘‘family size’’ under §423.772 to determine MSP-related eligibility may increase the family size of MSP applicants and enrollees, it will not expand the individuals whose income and/or resources may be deemed available to an MSP applicant or enrollee, as the non-MAGI deeming rule described in section 1902(a)(17)(D) of the Act and §435.602(a)(2)(</w:t>
      </w:r>
      <w:proofErr w:type="spellStart"/>
      <w:r w:rsidRPr="006E5E24">
        <w:rPr>
          <w:rFonts w:cs="Tahoma"/>
          <w:sz w:val="16"/>
          <w:szCs w:val="16"/>
        </w:rPr>
        <w:t>i</w:t>
      </w:r>
      <w:proofErr w:type="spellEnd"/>
      <w:r w:rsidRPr="006E5E24">
        <w:rPr>
          <w:rFonts w:cs="Tahoma"/>
          <w:sz w:val="16"/>
          <w:szCs w:val="16"/>
        </w:rPr>
        <w:t>) continues to apply.”); section 1902(a)(17(D) of the Social Security Act; 42 CFR 435.602(a)(2)(</w:t>
      </w:r>
      <w:proofErr w:type="spellStart"/>
      <w:r w:rsidRPr="006E5E24">
        <w:rPr>
          <w:rFonts w:cs="Tahoma"/>
          <w:sz w:val="16"/>
          <w:szCs w:val="16"/>
        </w:rPr>
        <w:t>i</w:t>
      </w:r>
      <w:proofErr w:type="spellEnd"/>
      <w:r w:rsidRPr="006E5E24">
        <w:rPr>
          <w:rFonts w:cs="Tahoma"/>
          <w:sz w:val="16"/>
          <w:szCs w:val="16"/>
        </w:rPr>
        <w:t xml:space="preserve">). </w:t>
      </w:r>
    </w:p>
    <w:p w14:paraId="718A37D0" w14:textId="77777777" w:rsidR="00A951A9" w:rsidRDefault="00A951A9" w:rsidP="006E5E24">
      <w:pPr>
        <w:pStyle w:val="EndnoteText"/>
        <w:rPr>
          <w:rFonts w:cs="Tahoma"/>
          <w:sz w:val="16"/>
          <w:szCs w:val="16"/>
        </w:rPr>
      </w:pPr>
    </w:p>
    <w:p w14:paraId="6224BE82" w14:textId="77777777" w:rsidR="001A730E" w:rsidRDefault="001A730E" w:rsidP="006E5E24">
      <w:pPr>
        <w:pStyle w:val="EndnoteText"/>
        <w:rPr>
          <w:rFonts w:cs="Tahoma"/>
          <w:sz w:val="16"/>
          <w:szCs w:val="16"/>
        </w:rPr>
      </w:pPr>
    </w:p>
    <w:p w14:paraId="0F5FC587" w14:textId="77777777" w:rsidR="001A730E" w:rsidRPr="006E5E24" w:rsidRDefault="001A730E" w:rsidP="006E5E24">
      <w:pPr>
        <w:pStyle w:val="EndnoteText"/>
        <w:rPr>
          <w:rFonts w:cs="Tahoma"/>
          <w:sz w:val="16"/>
          <w:szCs w:val="16"/>
        </w:rPr>
      </w:pPr>
    </w:p>
  </w:endnote>
  <w:endnote w:id="97">
    <w:p w14:paraId="51517B83" w14:textId="77777777" w:rsidR="007B5EB8" w:rsidRPr="006E5E24" w:rsidRDefault="007B5EB8"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Note that these estimates include other policies as well. CMS 2023 MSP Final Rule, 88 Fed. Reg. 65265.</w:t>
      </w:r>
    </w:p>
  </w:endnote>
  <w:endnote w:id="98">
    <w:p w14:paraId="3DFC2915" w14:textId="77777777" w:rsidR="007B5EB8" w:rsidRPr="006E5E24" w:rsidRDefault="007B5EB8"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CMS, Working Families ‘Tax Cut’ Legislation, Appendix E., page 33.</w:t>
      </w:r>
    </w:p>
  </w:endnote>
  <w:endnote w:id="99">
    <w:p w14:paraId="492646BE" w14:textId="77777777" w:rsidR="006F38BE" w:rsidRPr="006E5E24" w:rsidRDefault="006F38BE" w:rsidP="006E5E24">
      <w:pPr>
        <w:pStyle w:val="EndnoteText"/>
        <w:contextualSpacing/>
        <w:rPr>
          <w:rFonts w:cs="Tahoma"/>
          <w:b/>
          <w:sz w:val="16"/>
          <w:szCs w:val="16"/>
        </w:rPr>
      </w:pPr>
      <w:r w:rsidRPr="006E5E24">
        <w:rPr>
          <w:rFonts w:cs="Tahoma"/>
          <w:b/>
          <w:sz w:val="16"/>
          <w:szCs w:val="16"/>
        </w:rPr>
        <w:t>Explanatory notes and citations</w:t>
      </w:r>
    </w:p>
    <w:p w14:paraId="5C74B58C" w14:textId="77777777" w:rsidR="006F38BE" w:rsidRPr="006E5E24" w:rsidRDefault="006F38BE"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We use the term, “asset,” though the terms “assets” and “resources” are interchangeable.</w:t>
      </w:r>
    </w:p>
  </w:endnote>
  <w:endnote w:id="100">
    <w:p w14:paraId="0465A37D" w14:textId="77777777" w:rsidR="006F38BE" w:rsidRPr="006E5E24" w:rsidRDefault="006F38BE"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“‘Jennifer’ #10,” The People Say, 2025, </w:t>
      </w:r>
      <w:hyperlink r:id="rId111" w:history="1">
        <w:r w:rsidRPr="006E5E24">
          <w:rPr>
            <w:rStyle w:val="Hyperlink"/>
            <w:rFonts w:cs="Tahoma"/>
            <w:sz w:val="16"/>
            <w:szCs w:val="16"/>
          </w:rPr>
          <w:t>https://thepeoplesay.org/data/show/Jennifer-10</w:t>
        </w:r>
      </w:hyperlink>
      <w:r w:rsidRPr="006E5E24">
        <w:rPr>
          <w:rFonts w:cs="Tahoma"/>
          <w:sz w:val="16"/>
          <w:szCs w:val="16"/>
        </w:rPr>
        <w:t xml:space="preserve">. </w:t>
      </w:r>
    </w:p>
  </w:endnote>
  <w:endnote w:id="101">
    <w:p w14:paraId="4A3DADE7" w14:textId="420CADC5" w:rsidR="006F38BE" w:rsidRPr="006E5E24" w:rsidRDefault="006F38BE"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Under SSI asset methodologies used to determine asset eligibility for the MSPs, states exclude the value of certain non-liquid assets like a primary residence and one car for the MSPs. </w:t>
      </w:r>
      <w:r w:rsidRPr="006E5E24">
        <w:rPr>
          <w:rFonts w:cs="Tahoma"/>
          <w:color w:val="000000"/>
          <w:sz w:val="16"/>
          <w:szCs w:val="16"/>
        </w:rPr>
        <w:t xml:space="preserve">Under section 1902(r)(2) of the Act, states can disregard all countable non-liquid assets for </w:t>
      </w:r>
      <w:r w:rsidRPr="006E5E24">
        <w:rPr>
          <w:rFonts w:cs="Tahoma"/>
          <w:sz w:val="16"/>
          <w:szCs w:val="16"/>
        </w:rPr>
        <w:t>Qualified Medicare Beneficiaries, Specified Low-Income Beneficiaries, and Qualifying Individuals</w:t>
      </w:r>
      <w:r w:rsidRPr="006E5E24">
        <w:rPr>
          <w:rFonts w:cs="Tahoma"/>
          <w:color w:val="000000"/>
          <w:sz w:val="16"/>
          <w:szCs w:val="16"/>
        </w:rPr>
        <w:t xml:space="preserve">. </w:t>
      </w:r>
      <w:r w:rsidRPr="006E5E24">
        <w:rPr>
          <w:rFonts w:cs="Tahoma"/>
          <w:sz w:val="16"/>
          <w:szCs w:val="16"/>
        </w:rPr>
        <w:t xml:space="preserve">See Centers for Medicare &amp; Medicaid Services (CMS), “Implementation Guide: Medicaid State Plan Eligibility Less Restrictive Resource Methodologies under 1902(r)(2),” Medicaid.gov, n.d., </w:t>
      </w:r>
      <w:hyperlink r:id="rId112" w:history="1">
        <w:r w:rsidRPr="006E5E24">
          <w:rPr>
            <w:rStyle w:val="Hyperlink"/>
            <w:rFonts w:cs="Tahoma"/>
            <w:sz w:val="16"/>
            <w:szCs w:val="16"/>
          </w:rPr>
          <w:t>https://www.medicaid.gov/resources-for-states/downloads/macpro-ig-less-restrictive-resource-methodologies-1902r2.pdf</w:t>
        </w:r>
      </w:hyperlink>
      <w:r w:rsidRPr="006E5E24">
        <w:rPr>
          <w:rFonts w:cs="Tahoma"/>
          <w:sz w:val="16"/>
          <w:szCs w:val="16"/>
        </w:rPr>
        <w:t xml:space="preserve">. CMS, “Implementation Guide: Medicaid State Plan Eligibility. Eligibility Groups - Mandatory Coverage: Qualified Disabled Working Individuals,” Medicaid.gov, n.d., </w:t>
      </w:r>
      <w:hyperlink r:id="rId113" w:history="1">
        <w:r w:rsidRPr="006E5E24">
          <w:rPr>
            <w:rStyle w:val="Hyperlink"/>
            <w:rFonts w:cs="Tahoma"/>
            <w:sz w:val="16"/>
            <w:szCs w:val="16"/>
          </w:rPr>
          <w:t>https://www.medicaid.gov/resources-for-states/downloads/macpro-ig-qualified-disabled-and-working-individuals.pdf</w:t>
        </w:r>
      </w:hyperlink>
      <w:r w:rsidRPr="006E5E24">
        <w:rPr>
          <w:rFonts w:cs="Tahoma"/>
          <w:sz w:val="16"/>
          <w:szCs w:val="16"/>
        </w:rPr>
        <w:t xml:space="preserve">. </w:t>
      </w:r>
    </w:p>
  </w:endnote>
  <w:endnote w:id="102">
    <w:p w14:paraId="3B45594D" w14:textId="77777777" w:rsidR="006F38BE" w:rsidRPr="006E5E24" w:rsidRDefault="006F38BE"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CMS, “Implementation Guide: Medicaid State Plan Eligibility. Eligibility Groups - Mandatory Coverage Qualified Disabled and Working Individuals,” Medicaid.gov, n.d., </w:t>
      </w:r>
      <w:hyperlink r:id="rId114" w:history="1">
        <w:r w:rsidRPr="006E5E24">
          <w:rPr>
            <w:rStyle w:val="Hyperlink"/>
            <w:rFonts w:cs="Tahoma"/>
            <w:sz w:val="16"/>
            <w:szCs w:val="16"/>
          </w:rPr>
          <w:t>https://www.medicaid.gov/resources-for-states/downloads/macpro-ig-qualified-disabled-and-working-individuals.pdf</w:t>
        </w:r>
      </w:hyperlink>
      <w:r w:rsidRPr="006E5E24">
        <w:rPr>
          <w:rFonts w:cs="Tahoma"/>
          <w:sz w:val="16"/>
          <w:szCs w:val="16"/>
        </w:rPr>
        <w:t>.</w:t>
      </w:r>
    </w:p>
  </w:endnote>
  <w:endnote w:id="103">
    <w:p w14:paraId="048351DB" w14:textId="77777777" w:rsidR="00E67E3B" w:rsidRPr="006E5E24" w:rsidRDefault="00E67E3B"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At least three states with asset tests (Rhode Island, South Carolina, and Wyoming) disregard certain types of non-liquid assets. 210 R.I. Code R. § 40-00-3 3.55(A)(1)(d) (2025); South Carolina Department of Health and Human Services, </w:t>
      </w:r>
      <w:r w:rsidRPr="006E5E24">
        <w:rPr>
          <w:rFonts w:cs="Tahoma"/>
          <w:i/>
          <w:iCs/>
          <w:sz w:val="16"/>
          <w:szCs w:val="16"/>
        </w:rPr>
        <w:t>Medicaid Policy and Procedures Manual</w:t>
      </w:r>
      <w:r w:rsidRPr="006E5E24">
        <w:rPr>
          <w:rFonts w:cs="Tahoma"/>
          <w:sz w:val="16"/>
          <w:szCs w:val="16"/>
        </w:rPr>
        <w:t xml:space="preserve">, </w:t>
      </w:r>
      <w:proofErr w:type="gramStart"/>
      <w:r w:rsidRPr="006E5E24">
        <w:rPr>
          <w:rFonts w:cs="Tahoma"/>
          <w:sz w:val="16"/>
          <w:szCs w:val="16"/>
        </w:rPr>
        <w:t>Eligibility,  section</w:t>
      </w:r>
      <w:proofErr w:type="gramEnd"/>
      <w:r w:rsidRPr="006E5E24">
        <w:rPr>
          <w:rFonts w:cs="Tahoma"/>
          <w:sz w:val="16"/>
          <w:szCs w:val="16"/>
        </w:rPr>
        <w:t xml:space="preserve"> 302.05, n.d., </w:t>
      </w:r>
      <w:hyperlink r:id="rId115" w:history="1">
        <w:r w:rsidRPr="006E5E24">
          <w:rPr>
            <w:rStyle w:val="Hyperlink"/>
            <w:rFonts w:cs="Tahoma"/>
            <w:sz w:val="16"/>
            <w:szCs w:val="16"/>
          </w:rPr>
          <w:t>https://img1.scdhhs.gov/mppm/</w:t>
        </w:r>
      </w:hyperlink>
      <w:r w:rsidRPr="006E5E24">
        <w:rPr>
          <w:rFonts w:cs="Tahoma"/>
          <w:sz w:val="16"/>
          <w:szCs w:val="16"/>
        </w:rPr>
        <w:t xml:space="preserve">; Wyoming Department of Health, </w:t>
      </w:r>
      <w:r w:rsidRPr="006E5E24">
        <w:rPr>
          <w:rFonts w:cs="Tahoma"/>
          <w:i/>
          <w:iCs/>
          <w:sz w:val="16"/>
          <w:szCs w:val="16"/>
        </w:rPr>
        <w:t>Eligibility Online Manual</w:t>
      </w:r>
      <w:r w:rsidRPr="006E5E24">
        <w:rPr>
          <w:rFonts w:cs="Tahoma"/>
          <w:sz w:val="16"/>
          <w:szCs w:val="16"/>
        </w:rPr>
        <w:t xml:space="preserve">, Table 8, e.g., Recreational Vehicles, Vehicles- Licensed, Vehicles-Unlicensed, Jan. 2026, </w:t>
      </w:r>
      <w:hyperlink r:id="rId116" w:history="1">
        <w:r w:rsidRPr="006E5E24">
          <w:rPr>
            <w:rStyle w:val="Hyperlink"/>
            <w:rFonts w:cs="Tahoma"/>
            <w:sz w:val="16"/>
            <w:szCs w:val="16"/>
          </w:rPr>
          <w:t>https://ecom.wyo.gov/tables/table8</w:t>
        </w:r>
      </w:hyperlink>
      <w:r w:rsidRPr="006E5E24">
        <w:rPr>
          <w:rFonts w:cs="Tahoma"/>
          <w:sz w:val="16"/>
          <w:szCs w:val="16"/>
        </w:rPr>
        <w:t>.</w:t>
      </w:r>
    </w:p>
  </w:endnote>
  <w:endnote w:id="104">
    <w:p w14:paraId="5167193E" w14:textId="4A319583" w:rsidR="001A730E" w:rsidRPr="006E5E24" w:rsidRDefault="001A730E" w:rsidP="001A730E">
      <w:pPr>
        <w:pStyle w:val="Endnote"/>
        <w:spacing w:before="0" w:after="0"/>
        <w:rPr>
          <w:rFonts w:cs="Tahoma"/>
          <w:szCs w:val="16"/>
        </w:rPr>
      </w:pPr>
      <w:r w:rsidRPr="006E5E24">
        <w:rPr>
          <w:rStyle w:val="EndnoteReference"/>
          <w:rFonts w:cs="Tahoma"/>
          <w:szCs w:val="16"/>
        </w:rPr>
        <w:endnoteRef/>
      </w:r>
      <w:r w:rsidRPr="006E5E24">
        <w:rPr>
          <w:rFonts w:cs="Tahoma"/>
          <w:szCs w:val="16"/>
        </w:rPr>
        <w:t xml:space="preserve"> In addition to the states that disregard all assets, two states have used authorities at section 1902(r)(2) of the Social Security Act to effectively increase the asset limits above the federal levels: California ($130,000 for an individual and an additional $65,000 for each household relative) and Minnesota ($10,000 for an individual and $18,000 for a couple). Rachel Gershon, “Final Rule to Streamline Enrollment in Medicare Savings Programs,” </w:t>
      </w:r>
      <w:r w:rsidRPr="006E5E24">
        <w:rPr>
          <w:rFonts w:cs="Tahoma"/>
          <w:i/>
          <w:iCs/>
          <w:szCs w:val="16"/>
        </w:rPr>
        <w:t>Justice in Aging</w:t>
      </w:r>
      <w:r w:rsidRPr="006E5E24">
        <w:rPr>
          <w:rFonts w:cs="Tahoma"/>
          <w:szCs w:val="16"/>
        </w:rPr>
        <w:t xml:space="preserve">, October 30, 2025, </w:t>
      </w:r>
      <w:hyperlink r:id="rId117" w:history="1">
        <w:r w:rsidR="00D53DAB" w:rsidRPr="00A60B6D">
          <w:rPr>
            <w:rStyle w:val="Hyperlink"/>
            <w:rFonts w:cs="Tahoma"/>
            <w:szCs w:val="16"/>
          </w:rPr>
          <w:t>https://justiceinaging.org/final-rule-enrollment-in-medicare-savings-programs/</w:t>
        </w:r>
      </w:hyperlink>
      <w:r w:rsidR="00D53DAB">
        <w:rPr>
          <w:rFonts w:cs="Tahoma"/>
          <w:szCs w:val="16"/>
        </w:rPr>
        <w:t>;</w:t>
      </w:r>
      <w:r w:rsidRPr="006E5E24">
        <w:rPr>
          <w:rFonts w:cs="Tahoma"/>
          <w:szCs w:val="16"/>
        </w:rPr>
        <w:t xml:space="preserve"> “Asset Limits Frequently Asked Questions,” California Department of Health Care Services, </w:t>
      </w:r>
      <w:hyperlink r:id="rId118" w:history="1">
        <w:r w:rsidR="00D53DAB" w:rsidRPr="00A60B6D">
          <w:rPr>
            <w:rStyle w:val="Hyperlink"/>
            <w:rFonts w:cs="Tahoma"/>
            <w:szCs w:val="16"/>
          </w:rPr>
          <w:t>https://www.dhcs.ca.gov/Medi-Cal/Pages/Help/asset-limits-faqs.aspx</w:t>
        </w:r>
      </w:hyperlink>
      <w:r w:rsidR="00D53DAB">
        <w:rPr>
          <w:rFonts w:cs="Tahoma"/>
          <w:szCs w:val="16"/>
        </w:rPr>
        <w:t>;</w:t>
      </w:r>
      <w:r w:rsidRPr="006E5E24">
        <w:rPr>
          <w:rFonts w:cs="Tahoma"/>
          <w:szCs w:val="16"/>
        </w:rPr>
        <w:t xml:space="preserve"> “4.2.3.1 MSP Assets,” Minnesota Health Care Programs Eligibility Policy Manual, September 1, 2016, </w:t>
      </w:r>
      <w:hyperlink r:id="rId119" w:history="1">
        <w:r w:rsidR="00612961" w:rsidRPr="00A60B6D">
          <w:rPr>
            <w:rStyle w:val="Hyperlink"/>
            <w:rFonts w:cs="Tahoma"/>
            <w:szCs w:val="16"/>
          </w:rPr>
          <w:t>https://hcopub.dhs.state.mn.us/epm/4_2_3_1.htm</w:t>
        </w:r>
      </w:hyperlink>
      <w:r w:rsidR="00612961">
        <w:rPr>
          <w:rFonts w:cs="Tahoma"/>
          <w:szCs w:val="16"/>
        </w:rPr>
        <w:t>.</w:t>
      </w:r>
    </w:p>
  </w:endnote>
  <w:endnote w:id="105">
    <w:p w14:paraId="556FC74F" w14:textId="77777777" w:rsidR="006D7C32" w:rsidRPr="006E5E24" w:rsidRDefault="006D7C32"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See, for example, The People Say, “‘Jennifer’ #10”; “‘Rebecca #06,” The People Say, 2024, </w:t>
      </w:r>
      <w:hyperlink r:id="rId120" w:history="1">
        <w:r w:rsidRPr="006E5E24">
          <w:rPr>
            <w:rStyle w:val="Hyperlink"/>
            <w:rFonts w:cs="Tahoma"/>
            <w:sz w:val="16"/>
            <w:szCs w:val="16"/>
          </w:rPr>
          <w:t>https://thepeoplesay.org/data/show/Rebecca-06</w:t>
        </w:r>
      </w:hyperlink>
      <w:r w:rsidRPr="006E5E24">
        <w:rPr>
          <w:rFonts w:cs="Tahoma"/>
          <w:sz w:val="16"/>
          <w:szCs w:val="16"/>
        </w:rPr>
        <w:t xml:space="preserve">. See also, CMS Office of Burden Reduction &amp; Health Informatics, “Navigating the Medicare Savings Program (MSP) Eligibility Experience,” n.d., </w:t>
      </w:r>
      <w:hyperlink r:id="rId121" w:history="1">
        <w:r w:rsidRPr="006E5E24">
          <w:rPr>
            <w:rStyle w:val="Hyperlink"/>
            <w:rFonts w:cs="Tahoma"/>
            <w:sz w:val="16"/>
            <w:szCs w:val="16"/>
          </w:rPr>
          <w:t>https://www.cms.gov/​files/​document/​navigatingmedicare-savings-program-msp-eligibilityexperience-journey-map.pdf</w:t>
        </w:r>
      </w:hyperlink>
      <w:r w:rsidRPr="006E5E24">
        <w:rPr>
          <w:rFonts w:cs="Tahoma"/>
          <w:sz w:val="16"/>
          <w:szCs w:val="16"/>
        </w:rPr>
        <w:t xml:space="preserve">; Michael J. Perry et al., Barriers to Medicaid Enrollment for Low-Income Seniors: Focus Group Findings (The Kaiser Commission on Medicaid and the Uninsured, 2002), 18-19; Kim Glaun, </w:t>
      </w:r>
      <w:r w:rsidRPr="006E5E24">
        <w:rPr>
          <w:rFonts w:cs="Tahoma"/>
          <w:i/>
          <w:iCs/>
          <w:sz w:val="16"/>
          <w:szCs w:val="16"/>
        </w:rPr>
        <w:t>Medicaid Programs to Assist Low-Income Medicare Beneficiaries: Medicare Savings Programs Case Study Findings</w:t>
      </w:r>
      <w:r w:rsidRPr="006E5E24">
        <w:rPr>
          <w:rFonts w:cs="Tahoma"/>
          <w:sz w:val="16"/>
          <w:szCs w:val="16"/>
        </w:rPr>
        <w:t xml:space="preserve"> (The Kaiser Commission on Medicaid and the Uninsured, 2002), 14, </w:t>
      </w:r>
      <w:hyperlink r:id="rId122" w:anchor=":~:text=The%20Medicare%20Savings%20Programs%20asset%20limits%20are,and%20causes%20additional%20paperwork%20for%20state%20agencies" w:history="1">
        <w:r w:rsidRPr="006E5E24">
          <w:rPr>
            <w:rStyle w:val="Hyperlink"/>
            <w:rFonts w:cs="Tahoma"/>
            <w:sz w:val="16"/>
            <w:szCs w:val="16"/>
          </w:rPr>
          <w:t>https://www.kff.org/wp-content/uploads/2013/01/medicaid-programs-to-assist-low-income-medicare-beneficiaries-medicare-savings-programs-case-study-findings-background-paper.pdf#:~:text=The%20Medicare%20Savings%20Programs%20asset%20limits%20are,and%20causes%20additional%20paperwork%20for%20state%20agencies</w:t>
        </w:r>
      </w:hyperlink>
      <w:r w:rsidRPr="006E5E24">
        <w:rPr>
          <w:rFonts w:cs="Tahoma"/>
          <w:sz w:val="16"/>
          <w:szCs w:val="16"/>
        </w:rPr>
        <w:t xml:space="preserve">. </w:t>
      </w:r>
    </w:p>
  </w:endnote>
  <w:endnote w:id="106">
    <w:p w14:paraId="3C3DF64B" w14:textId="49F88DA0" w:rsidR="006D7C32" w:rsidRPr="00E16326" w:rsidRDefault="006D7C32"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Feedback from State Health Insurance Assistance Program directors in states with large rural populations suggests that challenges with non-liquid resources are more common in rural areas. Also, rural residents are generally more likely to own non-liquid assets than their counterparts in metro areas. Mathieu R. Despard et al., “Material Hardship among Lower-Income Households: The Role of Liquid Assets and Place,” </w:t>
      </w:r>
      <w:r w:rsidRPr="006E5E24">
        <w:rPr>
          <w:rFonts w:cs="Tahoma"/>
          <w:i/>
          <w:sz w:val="16"/>
          <w:szCs w:val="16"/>
        </w:rPr>
        <w:t>Journal of Poverty</w:t>
      </w:r>
      <w:r w:rsidRPr="006E5E24">
        <w:rPr>
          <w:rFonts w:cs="Tahoma"/>
          <w:sz w:val="16"/>
          <w:szCs w:val="16"/>
        </w:rPr>
        <w:t xml:space="preserve"> 26, no. 5 (2022): 361-84, </w:t>
      </w:r>
      <w:hyperlink r:id="rId123" w:history="1">
        <w:r w:rsidRPr="006E5E24">
          <w:rPr>
            <w:rStyle w:val="Hyperlink"/>
            <w:rFonts w:cs="Tahoma"/>
            <w:sz w:val="16"/>
            <w:szCs w:val="16"/>
          </w:rPr>
          <w:t>https://doi.org/10.1080/10875549.2021.1925801</w:t>
        </w:r>
      </w:hyperlink>
      <w:r w:rsidRPr="006E5E24">
        <w:rPr>
          <w:rFonts w:cs="Tahoma"/>
          <w:sz w:val="16"/>
          <w:szCs w:val="16"/>
        </w:rPr>
        <w:t xml:space="preserve">; Monica Fisher and Bruce A. Weber, “Does Economic Vulnerability Depend on Place of Residence? Asset Poverty across Metropolitan and Nonmetropolitan Areas,” </w:t>
      </w:r>
      <w:r w:rsidRPr="006E5E24">
        <w:rPr>
          <w:rFonts w:cs="Tahoma"/>
          <w:i/>
          <w:sz w:val="16"/>
          <w:szCs w:val="16"/>
        </w:rPr>
        <w:t>Review of Regional Studies</w:t>
      </w:r>
      <w:r w:rsidRPr="006E5E24">
        <w:rPr>
          <w:rFonts w:cs="Tahoma"/>
          <w:sz w:val="16"/>
          <w:szCs w:val="16"/>
        </w:rPr>
        <w:t xml:space="preserve"> 34, no. 2 (2004), </w:t>
      </w:r>
      <w:hyperlink r:id="rId124" w:history="1">
        <w:r w:rsidRPr="00E16326">
          <w:rPr>
            <w:rStyle w:val="Hyperlink"/>
            <w:rFonts w:cs="Tahoma"/>
            <w:sz w:val="16"/>
            <w:szCs w:val="16"/>
          </w:rPr>
          <w:t>https://doi.org/10.52324/001c.8381</w:t>
        </w:r>
      </w:hyperlink>
      <w:r w:rsidR="00AA592E" w:rsidRPr="00E16326">
        <w:rPr>
          <w:rFonts w:cs="Tahoma"/>
          <w:sz w:val="16"/>
          <w:szCs w:val="16"/>
        </w:rPr>
        <w:t xml:space="preserve">; Lutheran Services in America. “Rural Voices Shaping Transformation - Policy Recommendations.” </w:t>
      </w:r>
      <w:hyperlink r:id="rId125" w:anchor="page3:~:text=PEOPLE%20AND%20CONTEXT-,POLICY%20RECOMMENDATIONS,-LOOKING%20FORWARD" w:history="1">
        <w:r w:rsidR="00AA592E" w:rsidRPr="00E16326">
          <w:rPr>
            <w:rStyle w:val="Hyperlink"/>
            <w:rFonts w:cs="Tahoma"/>
            <w:sz w:val="16"/>
            <w:szCs w:val="16"/>
          </w:rPr>
          <w:t>https://lutheranservices.org/rural-voices/?utm_medium=email&amp;_hsenc=p2ANqtz-9Gl2h4f6HqNxwpgfJEfhWZf5cF3OIrmStmOKJ-EXkq-hH8ebOuZiXklC28fSm69x7EYJlAfHuvc5kcpRgNP4MGkC8ToogrvGTSAKoSbMfYFFtFgtQ&amp;_hsmi=411335418&amp;utm_content=411335418&amp;utm_source=hs_automation#page3:~:text=PEOPLE%20AND%20CONTEXT-,POLICY%20RECOMMENDATIONS,-LOOKING%20FORWARD</w:t>
        </w:r>
      </w:hyperlink>
      <w:r w:rsidR="00AA592E" w:rsidRPr="00E16326">
        <w:rPr>
          <w:rFonts w:cs="Tahoma"/>
          <w:sz w:val="16"/>
          <w:szCs w:val="16"/>
        </w:rPr>
        <w:t>.</w:t>
      </w:r>
    </w:p>
  </w:endnote>
  <w:endnote w:id="107">
    <w:p w14:paraId="301E77DC" w14:textId="77777777" w:rsidR="006D7C32" w:rsidRPr="00E16326"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for example, “Navigating the Medicare Savings Program Eligibility Experience”; Silberman, Susan, Rocki Basel, Jane Tavares, Marc A. Cohen, and Eileen J. Tell. </w:t>
      </w:r>
      <w:r w:rsidRPr="00E16326">
        <w:rPr>
          <w:rFonts w:cs="Tahoma"/>
          <w:i/>
          <w:iCs/>
          <w:sz w:val="16"/>
          <w:szCs w:val="16"/>
        </w:rPr>
        <w:t>Standing Back from the Medicare Cliff: Research and Policy Options to Help Low-Income Older Adults</w:t>
      </w:r>
      <w:r w:rsidRPr="00E16326">
        <w:rPr>
          <w:rFonts w:cs="Tahoma"/>
          <w:sz w:val="16"/>
          <w:szCs w:val="16"/>
        </w:rPr>
        <w:t xml:space="preserve">. National Council on Aging and LeadingAge LTSS Center @UMass Boston, 2024. </w:t>
      </w:r>
      <w:hyperlink r:id="rId126" w:history="1">
        <w:r w:rsidRPr="00E16326">
          <w:rPr>
            <w:rStyle w:val="Hyperlink"/>
            <w:rFonts w:cs="Tahoma"/>
            <w:sz w:val="16"/>
            <w:szCs w:val="16"/>
          </w:rPr>
          <w:t>https://assets.ncoa.org/ffacfe7d-10b6-0083-2632-604077fd4eca/467f43a0-d595-483b-8fdb-be068ab9cbbf/2024_Medicare_Cliff_Report.pdf</w:t>
        </w:r>
      </w:hyperlink>
      <w:r w:rsidRPr="00E16326">
        <w:rPr>
          <w:rFonts w:cs="Tahoma"/>
          <w:sz w:val="16"/>
          <w:szCs w:val="16"/>
        </w:rPr>
        <w:t xml:space="preserve">; Glaun, </w:t>
      </w:r>
      <w:r w:rsidRPr="00E16326">
        <w:rPr>
          <w:rFonts w:cs="Tahoma"/>
          <w:i/>
          <w:iCs/>
          <w:sz w:val="16"/>
          <w:szCs w:val="16"/>
        </w:rPr>
        <w:t>Medicaid Programs to Assist Low-Income Medicare Beneficiaries: Medicare Savings Programs Case Study Findings</w:t>
      </w:r>
      <w:r w:rsidRPr="00E16326">
        <w:rPr>
          <w:rFonts w:cs="Tahoma"/>
          <w:sz w:val="16"/>
          <w:szCs w:val="16"/>
        </w:rPr>
        <w:t xml:space="preserve">; Summer, Laura, and Lee Thompson. How Asset Tests Block Low-Income Medicare Beneficiaries from Needed Benefits. The Commonwealth Fund, 2004. </w:t>
      </w:r>
      <w:hyperlink r:id="rId127" w:history="1">
        <w:r w:rsidRPr="00E16326">
          <w:rPr>
            <w:rStyle w:val="Hyperlink"/>
            <w:rFonts w:cs="Tahoma"/>
            <w:sz w:val="16"/>
            <w:szCs w:val="16"/>
          </w:rPr>
          <w:t>https://www.commonwealthfund.org/publications/issue-briefs/2004/may/how-asset-tests-block-low-income-medicare-beneficiaries-needed</w:t>
        </w:r>
      </w:hyperlink>
      <w:r w:rsidRPr="00E16326">
        <w:rPr>
          <w:rFonts w:cs="Tahoma"/>
          <w:sz w:val="16"/>
          <w:szCs w:val="16"/>
        </w:rPr>
        <w:t>. Note that reductions in burdens may be more limited if applicants need to submit asset information when applying through integrated applications for MSP, full-benefit Medicaid, or programs like the Supplemental Nutrition Assistance Program (SNAP).</w:t>
      </w:r>
    </w:p>
  </w:endnote>
  <w:endnote w:id="108">
    <w:p w14:paraId="1BE8F9E2" w14:textId="5A3BF554" w:rsidR="006D7C32" w:rsidRPr="00E16326"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for example, “Navigating the Medicare Savings Program Eligibility Experience;” Susan Silberman et al., </w:t>
      </w:r>
      <w:r w:rsidRPr="00E16326">
        <w:rPr>
          <w:rFonts w:cs="Tahoma"/>
          <w:i/>
          <w:iCs/>
          <w:sz w:val="16"/>
          <w:szCs w:val="16"/>
        </w:rPr>
        <w:t>Standing Back from the Medicare Cliff,</w:t>
      </w:r>
      <w:r w:rsidRPr="00E16326">
        <w:rPr>
          <w:rFonts w:cs="Tahoma"/>
          <w:sz w:val="16"/>
          <w:szCs w:val="16"/>
        </w:rPr>
        <w:t xml:space="preserve"> 10-12</w:t>
      </w:r>
      <w:r w:rsidRPr="00E16326" w:rsidDel="009F33FC">
        <w:rPr>
          <w:rFonts w:cs="Tahoma"/>
          <w:sz w:val="16"/>
          <w:szCs w:val="16"/>
        </w:rPr>
        <w:t>;</w:t>
      </w:r>
      <w:r w:rsidRPr="00E16326">
        <w:rPr>
          <w:rFonts w:cs="Tahoma"/>
          <w:sz w:val="16"/>
          <w:szCs w:val="16"/>
        </w:rPr>
        <w:t xml:space="preserve"> Oliver, Tobey, </w:t>
      </w:r>
      <w:proofErr w:type="spellStart"/>
      <w:r w:rsidRPr="00E16326">
        <w:rPr>
          <w:rFonts w:cs="Tahoma"/>
          <w:sz w:val="16"/>
          <w:szCs w:val="16"/>
        </w:rPr>
        <w:t>Wenjia</w:t>
      </w:r>
      <w:proofErr w:type="spellEnd"/>
      <w:r w:rsidRPr="00E16326">
        <w:rPr>
          <w:rFonts w:cs="Tahoma"/>
          <w:sz w:val="16"/>
          <w:szCs w:val="16"/>
        </w:rPr>
        <w:t xml:space="preserve"> Zhu, Erin Weir Lakhmani, and Matt Niedzwiecki. </w:t>
      </w:r>
      <w:r w:rsidRPr="00E16326">
        <w:rPr>
          <w:rFonts w:cs="Tahoma"/>
          <w:i/>
          <w:iCs/>
          <w:sz w:val="16"/>
          <w:szCs w:val="16"/>
        </w:rPr>
        <w:t>Medicare Savings Programs: Most Who Are Eligible Hold Few Assets</w:t>
      </w:r>
      <w:r w:rsidRPr="00E16326">
        <w:rPr>
          <w:rFonts w:cs="Tahoma"/>
          <w:sz w:val="16"/>
          <w:szCs w:val="16"/>
        </w:rPr>
        <w:t>. AARP Public Policy Institute, 7, 2026.</w:t>
      </w:r>
      <w:r w:rsidR="006F2B21" w:rsidRPr="00E16326">
        <w:rPr>
          <w:rFonts w:ascii="Times New Roman" w:eastAsia="Times New Roman" w:hAnsi="Times New Roman" w:cs="Times New Roman"/>
          <w:color w:val="auto"/>
          <w:sz w:val="24"/>
          <w:szCs w:val="24"/>
        </w:rPr>
        <w:t xml:space="preserve"> </w:t>
      </w:r>
      <w:hyperlink r:id="rId128" w:history="1">
        <w:r w:rsidR="006F2B21" w:rsidRPr="00E16326">
          <w:rPr>
            <w:rStyle w:val="Hyperlink"/>
            <w:rFonts w:cs="Tahoma"/>
            <w:sz w:val="16"/>
            <w:szCs w:val="16"/>
          </w:rPr>
          <w:t>https://www.aarp.org/content/dam/aarp/ppi/topics/health/coverage-access/medicare-savings-programs-most-who-are-eligible-hold-few-assets.doi.10.26419-2fppi.00406.001.pdf</w:t>
        </w:r>
      </w:hyperlink>
      <w:r w:rsidRPr="00E16326">
        <w:rPr>
          <w:rFonts w:cs="Tahoma"/>
          <w:sz w:val="16"/>
          <w:szCs w:val="16"/>
        </w:rPr>
        <w:t xml:space="preserve">; Glaun, </w:t>
      </w:r>
      <w:r w:rsidRPr="00E16326">
        <w:rPr>
          <w:rFonts w:cs="Tahoma"/>
          <w:i/>
          <w:iCs/>
          <w:sz w:val="16"/>
          <w:szCs w:val="16"/>
        </w:rPr>
        <w:t xml:space="preserve">Medicaid Programs to Assist Low-Income Medicare Beneficiaries, </w:t>
      </w:r>
      <w:r w:rsidRPr="00E16326">
        <w:rPr>
          <w:rFonts w:cs="Tahoma"/>
          <w:sz w:val="16"/>
          <w:szCs w:val="16"/>
        </w:rPr>
        <w:t xml:space="preserve">15; Summer and Thompson, </w:t>
      </w:r>
      <w:r w:rsidRPr="00E16326">
        <w:rPr>
          <w:rFonts w:cs="Tahoma"/>
          <w:i/>
          <w:iCs/>
          <w:sz w:val="16"/>
          <w:szCs w:val="16"/>
        </w:rPr>
        <w:t xml:space="preserve">How Asset Tests Block Low-Income Medicare Beneficiaries from Needed Benefits, </w:t>
      </w:r>
      <w:r w:rsidRPr="00E16326">
        <w:rPr>
          <w:rFonts w:cs="Tahoma"/>
          <w:sz w:val="16"/>
          <w:szCs w:val="16"/>
        </w:rPr>
        <w:t xml:space="preserve">6-9.  </w:t>
      </w:r>
    </w:p>
  </w:endnote>
  <w:endnote w:id="109">
    <w:p w14:paraId="53C7071A" w14:textId="77777777" w:rsidR="006D7C32" w:rsidRPr="006E5E24"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LIS disregards all non-liquid assets, except for the equity value of any real property that is not connected to the primary residence. 20 CFR 418.3425(b).</w:t>
      </w:r>
    </w:p>
  </w:endnote>
  <w:endnote w:id="110">
    <w:p w14:paraId="15684C89" w14:textId="77777777" w:rsidR="006D7C32" w:rsidRPr="006E5E24" w:rsidRDefault="006D7C32"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We are unaware of authoritative data on non-liquid assets among Medicare beneficiaries, but reports from State Health Insurance Assistance Programs suggest that challenges documenting the value of such assets are infrequent</w:t>
      </w:r>
      <w:r w:rsidRPr="006E5E24">
        <w:rPr>
          <w:rFonts w:eastAsia="Aptos" w:cs="Tahoma"/>
          <w:color w:val="0A0A0A"/>
          <w:sz w:val="16"/>
          <w:szCs w:val="16"/>
          <w:shd w:val="clear" w:color="auto" w:fill="FFFFFF"/>
          <w:lang w:val="en"/>
        </w:rPr>
        <w:t xml:space="preserve"> </w:t>
      </w:r>
      <w:r w:rsidRPr="006E5E24">
        <w:rPr>
          <w:rFonts w:cs="Tahoma"/>
          <w:sz w:val="16"/>
          <w:szCs w:val="16"/>
          <w:lang w:val="en"/>
        </w:rPr>
        <w:t>—</w:t>
      </w:r>
      <w:r w:rsidRPr="006E5E24">
        <w:rPr>
          <w:rFonts w:cs="Tahoma"/>
          <w:sz w:val="16"/>
          <w:szCs w:val="16"/>
        </w:rPr>
        <w:t>even as they are extremely problematic for the affected individuals when they do arise. As noted above, most income-eligible individuals possess few assets overall. As such, we anticipate a slight increase in enrollment and state costs for Medicare premiums and cost sharing, and a slight decrease in administrative costs, though the net effects will differ by state. Individual states may have data on denials linked to non-liquid assets to help inform their cost projections.</w:t>
      </w:r>
    </w:p>
  </w:endnote>
  <w:endnote w:id="111">
    <w:p w14:paraId="5D4CE04F" w14:textId="77777777" w:rsidR="006D7C32" w:rsidRPr="006E5E24" w:rsidRDefault="006D7C32" w:rsidP="006E5E24">
      <w:pPr>
        <w:spacing w:after="0"/>
        <w:rPr>
          <w:rFonts w:cs="Tahoma"/>
          <w:sz w:val="16"/>
          <w:szCs w:val="16"/>
        </w:rPr>
      </w:pPr>
      <w:r w:rsidRPr="006E5E24">
        <w:rPr>
          <w:rStyle w:val="EndnoteReference"/>
          <w:rFonts w:cs="Tahoma"/>
          <w:sz w:val="16"/>
          <w:szCs w:val="16"/>
        </w:rPr>
        <w:endnoteRef/>
      </w:r>
      <w:r w:rsidRPr="006E5E24">
        <w:rPr>
          <w:rFonts w:cs="Tahoma"/>
          <w:sz w:val="16"/>
          <w:szCs w:val="16"/>
        </w:rPr>
        <w:t xml:space="preserve"> Alex D. Federman et al., “Avoidance </w:t>
      </w:r>
      <w:proofErr w:type="gramStart"/>
      <w:r w:rsidRPr="006E5E24">
        <w:rPr>
          <w:rFonts w:cs="Tahoma"/>
          <w:sz w:val="16"/>
          <w:szCs w:val="16"/>
        </w:rPr>
        <w:t>Of</w:t>
      </w:r>
      <w:proofErr w:type="gramEnd"/>
      <w:r w:rsidRPr="006E5E24">
        <w:rPr>
          <w:rFonts w:cs="Tahoma"/>
          <w:sz w:val="16"/>
          <w:szCs w:val="16"/>
        </w:rPr>
        <w:t xml:space="preserve"> Health Care Services Because Of Cost: Impact </w:t>
      </w:r>
      <w:proofErr w:type="gramStart"/>
      <w:r w:rsidRPr="006E5E24">
        <w:rPr>
          <w:rFonts w:cs="Tahoma"/>
          <w:sz w:val="16"/>
          <w:szCs w:val="16"/>
        </w:rPr>
        <w:t>Of</w:t>
      </w:r>
      <w:proofErr w:type="gramEnd"/>
      <w:r w:rsidRPr="006E5E24">
        <w:rPr>
          <w:rFonts w:cs="Tahoma"/>
          <w:sz w:val="16"/>
          <w:szCs w:val="16"/>
        </w:rPr>
        <w:t xml:space="preserve"> </w:t>
      </w:r>
      <w:proofErr w:type="gramStart"/>
      <w:r w:rsidRPr="006E5E24">
        <w:rPr>
          <w:rFonts w:cs="Tahoma"/>
          <w:sz w:val="16"/>
          <w:szCs w:val="16"/>
        </w:rPr>
        <w:t>The</w:t>
      </w:r>
      <w:proofErr w:type="gramEnd"/>
      <w:r w:rsidRPr="006E5E24">
        <w:rPr>
          <w:rFonts w:cs="Tahoma"/>
          <w:sz w:val="16"/>
          <w:szCs w:val="16"/>
        </w:rPr>
        <w:t xml:space="preserve"> Medicare Savings Program,” </w:t>
      </w:r>
      <w:r w:rsidRPr="006E5E24">
        <w:rPr>
          <w:rFonts w:cs="Tahoma"/>
          <w:i/>
          <w:iCs/>
          <w:sz w:val="16"/>
          <w:szCs w:val="16"/>
        </w:rPr>
        <w:t>Health Affairs</w:t>
      </w:r>
      <w:r w:rsidRPr="006E5E24">
        <w:rPr>
          <w:rFonts w:cs="Tahoma"/>
          <w:sz w:val="16"/>
          <w:szCs w:val="16"/>
        </w:rPr>
        <w:t xml:space="preserve"> 24, no. 1 (2005): 263-70, </w:t>
      </w:r>
      <w:hyperlink r:id="rId129">
        <w:r w:rsidRPr="006E5E24">
          <w:rPr>
            <w:rStyle w:val="Hyperlink"/>
            <w:rFonts w:cs="Tahoma"/>
            <w:sz w:val="16"/>
            <w:szCs w:val="16"/>
          </w:rPr>
          <w:t>https://doi.org/10.1377/hlthaff.24.1.263</w:t>
        </w:r>
      </w:hyperlink>
      <w:r w:rsidRPr="006E5E24">
        <w:rPr>
          <w:rFonts w:cs="Tahoma"/>
          <w:sz w:val="16"/>
          <w:szCs w:val="16"/>
        </w:rPr>
        <w:t>.</w:t>
      </w:r>
    </w:p>
  </w:endnote>
  <w:endnote w:id="112">
    <w:p w14:paraId="69462DE8" w14:textId="77777777" w:rsidR="006D7C32" w:rsidRPr="006E5E24" w:rsidRDefault="006D7C32"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Yi-Ting Chou et al., “The Association Between Medicare Low-Income Subsidy and Anticancer Treatment Uptake in Advanced Lung Cancer,” </w:t>
      </w:r>
      <w:r w:rsidRPr="006E5E24">
        <w:rPr>
          <w:rFonts w:cs="Tahoma"/>
          <w:i/>
          <w:iCs/>
          <w:sz w:val="16"/>
          <w:szCs w:val="16"/>
        </w:rPr>
        <w:t>Journal of the National Cancer Institute</w:t>
      </w:r>
      <w:r w:rsidRPr="006E5E24">
        <w:rPr>
          <w:rFonts w:cs="Tahoma"/>
          <w:sz w:val="16"/>
          <w:szCs w:val="16"/>
        </w:rPr>
        <w:t xml:space="preserve"> 112, no. 6 (2020): 637-46, </w:t>
      </w:r>
      <w:hyperlink r:id="rId130" w:history="1">
        <w:r w:rsidRPr="006E5E24">
          <w:rPr>
            <w:rStyle w:val="Hyperlink"/>
            <w:rFonts w:cs="Tahoma"/>
            <w:sz w:val="16"/>
            <w:szCs w:val="16"/>
          </w:rPr>
          <w:t>https://doi.org/10.1093/jnci/djz183</w:t>
        </w:r>
      </w:hyperlink>
      <w:r w:rsidRPr="006E5E24">
        <w:rPr>
          <w:rFonts w:cs="Tahoma"/>
          <w:sz w:val="16"/>
          <w:szCs w:val="16"/>
        </w:rPr>
        <w:t>.</w:t>
      </w:r>
    </w:p>
  </w:endnote>
  <w:endnote w:id="113">
    <w:p w14:paraId="445C1D1C" w14:textId="77777777" w:rsidR="006D7C32" w:rsidRPr="006E5E24" w:rsidRDefault="006D7C32" w:rsidP="006E5E24">
      <w:pPr>
        <w:pStyle w:val="EndnoteText"/>
        <w:rPr>
          <w:rFonts w:cs="Tahoma"/>
          <w:sz w:val="16"/>
          <w:szCs w:val="16"/>
        </w:rPr>
      </w:pPr>
      <w:r w:rsidRPr="006E5E24">
        <w:rPr>
          <w:rStyle w:val="EndnoteReference"/>
          <w:rFonts w:cs="Tahoma"/>
          <w:sz w:val="16"/>
          <w:szCs w:val="16"/>
        </w:rPr>
        <w:endnoteRef/>
      </w:r>
      <w:r w:rsidRPr="006E5E24">
        <w:rPr>
          <w:rFonts w:cs="Tahoma"/>
          <w:sz w:val="16"/>
          <w:szCs w:val="16"/>
        </w:rPr>
        <w:t xml:space="preserve"> Eric T. Roberts et al., “Loss of Subsidized Drug Coverage and Mortality among Medicare Beneficiaries,” </w:t>
      </w:r>
      <w:r w:rsidRPr="006E5E24">
        <w:rPr>
          <w:rFonts w:cs="Tahoma"/>
          <w:i/>
          <w:iCs/>
          <w:sz w:val="16"/>
          <w:szCs w:val="16"/>
        </w:rPr>
        <w:t>New England Journal of Medicine</w:t>
      </w:r>
      <w:r w:rsidRPr="006E5E24">
        <w:rPr>
          <w:rFonts w:cs="Tahoma"/>
          <w:sz w:val="16"/>
          <w:szCs w:val="16"/>
        </w:rPr>
        <w:t xml:space="preserve"> 392, no. 20 (2025): 2025-34, </w:t>
      </w:r>
      <w:hyperlink r:id="rId131" w:history="1">
        <w:r w:rsidRPr="006E5E24">
          <w:rPr>
            <w:rStyle w:val="Hyperlink"/>
            <w:rFonts w:cs="Tahoma"/>
            <w:sz w:val="16"/>
            <w:szCs w:val="16"/>
          </w:rPr>
          <w:t>https://doi.org/10.1056/NEJMsa2414435</w:t>
        </w:r>
      </w:hyperlink>
      <w:r w:rsidRPr="006E5E24">
        <w:rPr>
          <w:rFonts w:cs="Tahoma"/>
          <w:sz w:val="16"/>
          <w:szCs w:val="16"/>
        </w:rPr>
        <w:t>.</w:t>
      </w:r>
    </w:p>
  </w:endnote>
  <w:endnote w:id="114">
    <w:p w14:paraId="43BBE34E" w14:textId="77777777" w:rsidR="00146026" w:rsidRPr="00E16326" w:rsidRDefault="00146026" w:rsidP="00146026">
      <w:pPr>
        <w:pStyle w:val="EndnoteText"/>
      </w:pPr>
      <w:r w:rsidRPr="00E16326">
        <w:rPr>
          <w:rStyle w:val="EndnoteReference"/>
        </w:rPr>
        <w:endnoteRef/>
      </w:r>
      <w:r w:rsidRPr="00E16326">
        <w:t xml:space="preserve"> </w:t>
      </w:r>
      <w:r w:rsidRPr="00E16326">
        <w:rPr>
          <w:rStyle w:val="EndnoteChar"/>
          <w:szCs w:val="16"/>
        </w:rPr>
        <w:t xml:space="preserve">“‘Tiffany’ Transcript,” The People Say, 2025, </w:t>
      </w:r>
      <w:hyperlink r:id="rId132" w:history="1">
        <w:r w:rsidRPr="00E16326">
          <w:rPr>
            <w:rStyle w:val="Hyperlink"/>
            <w:sz w:val="16"/>
            <w:szCs w:val="16"/>
          </w:rPr>
          <w:t>https://thepeoplesay.org/transcripts/show/tiffany-july-2025</w:t>
        </w:r>
      </w:hyperlink>
      <w:r w:rsidRPr="00E16326">
        <w:rPr>
          <w:rStyle w:val="EndnoteChar"/>
        </w:rPr>
        <w:t>.</w:t>
      </w:r>
      <w:r w:rsidRPr="00E16326">
        <w:rPr>
          <w:rFonts w:ascii="Calibri" w:hAnsi="Calibri" w:cs="Calibri"/>
        </w:rPr>
        <w:t xml:space="preserve"> </w:t>
      </w:r>
    </w:p>
  </w:endnote>
  <w:endnote w:id="115">
    <w:p w14:paraId="1CD5905E" w14:textId="77777777" w:rsidR="006D7C32" w:rsidRPr="00E16326"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Centers for Medicare &amp; Medicaid Services (CMS), "2026 Medicare Parts A &amp; B Premiums and Deductibles,” Nov. 14, 2025, </w:t>
      </w:r>
      <w:hyperlink r:id="rId133" w:history="1">
        <w:r w:rsidRPr="00E16326">
          <w:rPr>
            <w:rStyle w:val="Hyperlink"/>
            <w:rFonts w:cs="Tahoma"/>
            <w:sz w:val="16"/>
            <w:szCs w:val="16"/>
          </w:rPr>
          <w:t>https://www.cms.gov/newsroom/fact-sheets/2026-medicare-parts-b-premiums-deductibles</w:t>
        </w:r>
      </w:hyperlink>
      <w:r w:rsidRPr="00E16326">
        <w:rPr>
          <w:rFonts w:cs="Tahoma"/>
          <w:sz w:val="16"/>
          <w:szCs w:val="16"/>
        </w:rPr>
        <w:t xml:space="preserve">; CMS, “Chapter 1: Program Overview and Policy,” </w:t>
      </w:r>
      <w:r w:rsidRPr="00E16326">
        <w:rPr>
          <w:rFonts w:cs="Tahoma"/>
          <w:i/>
          <w:iCs/>
          <w:sz w:val="16"/>
          <w:szCs w:val="16"/>
        </w:rPr>
        <w:t>Manual for the State Payment of Medicare Premiums</w:t>
      </w:r>
      <w:r w:rsidRPr="00E16326">
        <w:rPr>
          <w:rFonts w:cs="Tahoma"/>
          <w:sz w:val="16"/>
          <w:szCs w:val="16"/>
        </w:rPr>
        <w:t xml:space="preserve">, Pub. 100-24, section 1.2, </w:t>
      </w:r>
      <w:hyperlink r:id="rId134" w:history="1">
        <w:r w:rsidRPr="00E16326">
          <w:rPr>
            <w:rStyle w:val="Hyperlink"/>
            <w:rFonts w:cs="Tahoma"/>
            <w:sz w:val="16"/>
            <w:szCs w:val="16"/>
          </w:rPr>
          <w:t>https://www.cms.gov/files/document/chapter-1-program-overview-and-policy.pdf</w:t>
        </w:r>
      </w:hyperlink>
      <w:r w:rsidRPr="00E16326">
        <w:rPr>
          <w:rFonts w:cs="Tahoma"/>
          <w:sz w:val="16"/>
          <w:szCs w:val="16"/>
        </w:rPr>
        <w:t>.</w:t>
      </w:r>
    </w:p>
  </w:endnote>
  <w:endnote w:id="116">
    <w:p w14:paraId="48102DC8" w14:textId="77777777" w:rsidR="006D7C32" w:rsidRPr="00E16326"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In 2023, more than one in four Medicare beneficiaries indicated health expenses made it harder for them to afford food and utility bills in the past 12 months. Additionally, research suggests that expanding eligibility for Medicaid coverage of Medicare premiums and cost sharing could mitigate racial and economic disparities among low-income Medicare beneficiaries. See Gretchen Jacobson et al., “Can Medicare Beneficiaries Afford Their Health Care?,” October 2023, </w:t>
      </w:r>
      <w:hyperlink r:id="rId135" w:history="1">
        <w:r w:rsidRPr="00E16326">
          <w:rPr>
            <w:rStyle w:val="Hyperlink"/>
            <w:rFonts w:cs="Tahoma"/>
            <w:sz w:val="16"/>
            <w:szCs w:val="16"/>
          </w:rPr>
          <w:t>https://www.commonwealthfund.org/sites/default/files/2023-10/PDF_Jacobson_can_medicare_beneficiaries_afford_health_care_2023_survey_chartpack_final.pdf</w:t>
        </w:r>
      </w:hyperlink>
      <w:r w:rsidRPr="00E16326">
        <w:rPr>
          <w:rFonts w:cs="Tahoma"/>
          <w:sz w:val="16"/>
          <w:szCs w:val="16"/>
        </w:rPr>
        <w:t xml:space="preserve">; Eric T. Roberts et al., “Racial and Ethnic Disparities in Health Care Use and Access Associated With Loss of Medicaid Supplemental Insurance Eligibility Above the Federal Poverty Level,” </w:t>
      </w:r>
      <w:r w:rsidRPr="00E16326">
        <w:rPr>
          <w:rFonts w:cs="Tahoma"/>
          <w:i/>
          <w:iCs/>
          <w:sz w:val="16"/>
          <w:szCs w:val="16"/>
        </w:rPr>
        <w:t>JAMA Internal Medicine</w:t>
      </w:r>
      <w:r w:rsidRPr="00E16326">
        <w:rPr>
          <w:rFonts w:cs="Tahoma"/>
          <w:sz w:val="16"/>
          <w:szCs w:val="16"/>
        </w:rPr>
        <w:t xml:space="preserve"> 183, no. 6 (2023): 534-43, </w:t>
      </w:r>
      <w:hyperlink r:id="rId136" w:history="1">
        <w:r w:rsidRPr="00E16326">
          <w:rPr>
            <w:rStyle w:val="Hyperlink"/>
            <w:rFonts w:cs="Tahoma"/>
            <w:sz w:val="16"/>
            <w:szCs w:val="16"/>
          </w:rPr>
          <w:t>https://doi.org/10.1001/jamainternmed.2023.0512</w:t>
        </w:r>
      </w:hyperlink>
      <w:r w:rsidRPr="00E16326">
        <w:rPr>
          <w:rFonts w:cs="Tahoma"/>
          <w:sz w:val="16"/>
          <w:szCs w:val="16"/>
        </w:rPr>
        <w:t xml:space="preserve">. </w:t>
      </w:r>
    </w:p>
  </w:endnote>
  <w:endnote w:id="117">
    <w:p w14:paraId="217B82A0" w14:textId="77777777" w:rsidR="006D7C32" w:rsidRPr="00E16326"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Joseph Shapiro, “These Disabled People Tried to Play by the Rules. It Cost Them Their Federal Benefits,” Investigations, </w:t>
      </w:r>
      <w:r w:rsidRPr="00E16326">
        <w:rPr>
          <w:rFonts w:cs="Tahoma"/>
          <w:i/>
          <w:iCs/>
          <w:sz w:val="16"/>
          <w:szCs w:val="16"/>
        </w:rPr>
        <w:t>NPR</w:t>
      </w:r>
      <w:r w:rsidRPr="00E16326">
        <w:rPr>
          <w:rFonts w:cs="Tahoma"/>
          <w:sz w:val="16"/>
          <w:szCs w:val="16"/>
        </w:rPr>
        <w:t xml:space="preserve">, June 8, 2024, </w:t>
      </w:r>
      <w:hyperlink r:id="rId137" w:history="1">
        <w:r w:rsidRPr="00E16326">
          <w:rPr>
            <w:rStyle w:val="Hyperlink"/>
            <w:rFonts w:cs="Tahoma"/>
            <w:sz w:val="16"/>
            <w:szCs w:val="16"/>
          </w:rPr>
          <w:t>https://www.npr.org/2024/06/08/g-s1-3475/social-security-ssi-asset-limits</w:t>
        </w:r>
      </w:hyperlink>
      <w:r w:rsidRPr="00E16326">
        <w:rPr>
          <w:rFonts w:cs="Tahoma"/>
          <w:sz w:val="16"/>
          <w:szCs w:val="16"/>
        </w:rPr>
        <w:t>.</w:t>
      </w:r>
    </w:p>
  </w:endnote>
  <w:endnote w:id="118">
    <w:p w14:paraId="1A4EF71D" w14:textId="77777777" w:rsidR="006D7C32" w:rsidRPr="006E5E24" w:rsidRDefault="006D7C32" w:rsidP="006E5E24">
      <w:pPr>
        <w:pStyle w:val="EndnoteText"/>
        <w:rPr>
          <w:rFonts w:cs="Tahoma"/>
          <w:sz w:val="16"/>
          <w:szCs w:val="16"/>
        </w:rPr>
      </w:pPr>
      <w:r w:rsidRPr="00E16326">
        <w:rPr>
          <w:rStyle w:val="EndnoteReference"/>
          <w:rFonts w:cs="Tahoma"/>
          <w:sz w:val="16"/>
          <w:szCs w:val="16"/>
        </w:rPr>
        <w:endnoteRef/>
      </w:r>
      <w:r w:rsidRPr="00E16326">
        <w:rPr>
          <w:rFonts w:cs="Tahoma"/>
          <w:sz w:val="16"/>
          <w:szCs w:val="16"/>
        </w:rPr>
        <w:t xml:space="preserve"> See e.g., Social Security Administration, </w:t>
      </w:r>
      <w:r w:rsidRPr="00E16326">
        <w:rPr>
          <w:rFonts w:cs="Tahoma"/>
          <w:i/>
          <w:iCs/>
          <w:sz w:val="16"/>
          <w:szCs w:val="16"/>
        </w:rPr>
        <w:t>Program Operations Manual System (POMS),</w:t>
      </w:r>
      <w:r w:rsidRPr="00E16326">
        <w:rPr>
          <w:rFonts w:cs="Tahoma"/>
          <w:sz w:val="16"/>
          <w:szCs w:val="16"/>
        </w:rPr>
        <w:t xml:space="preserve"> SI 01140.100 Non-home real property (NHRP) at </w:t>
      </w:r>
      <w:hyperlink r:id="rId138">
        <w:r w:rsidRPr="00E16326">
          <w:rPr>
            <w:rStyle w:val="Hyperlink"/>
            <w:rFonts w:cs="Tahoma"/>
            <w:sz w:val="16"/>
            <w:szCs w:val="16"/>
          </w:rPr>
          <w:t>https://secure.ssa.gov/poms.nsf/lnx/0501140100</w:t>
        </w:r>
      </w:hyperlink>
      <w:r w:rsidRPr="00E16326">
        <w:rPr>
          <w:rFonts w:cs="Tahoma"/>
          <w:sz w:val="16"/>
          <w:szCs w:val="16"/>
        </w:rPr>
        <w:t xml:space="preserve"> and</w:t>
      </w:r>
      <w:r w:rsidRPr="00E16326">
        <w:rPr>
          <w:rFonts w:cs="Tahoma"/>
          <w:sz w:val="16"/>
          <w:szCs w:val="16"/>
        </w:rPr>
        <w:br/>
      </w:r>
      <w:hyperlink r:id="rId139">
        <w:r w:rsidRPr="00E16326">
          <w:rPr>
            <w:rStyle w:val="Hyperlink"/>
            <w:rFonts w:cs="Tahoma"/>
            <w:sz w:val="16"/>
            <w:szCs w:val="16"/>
          </w:rPr>
          <w:t>SI 01130.140</w:t>
        </w:r>
      </w:hyperlink>
      <w:r w:rsidRPr="00E16326">
        <w:rPr>
          <w:rFonts w:cs="Tahoma"/>
          <w:sz w:val="16"/>
          <w:szCs w:val="16"/>
        </w:rPr>
        <w:t xml:space="preserve"> Real Property Following Reasonable but Unsuccessful Efforts to Sell It Throughout a 9-Month Period of Conditional Benefits at </w:t>
      </w:r>
      <w:hyperlink r:id="rId140" w:history="1">
        <w:r w:rsidRPr="00E16326">
          <w:rPr>
            <w:rStyle w:val="Hyperlink"/>
            <w:rFonts w:cs="Tahoma"/>
            <w:sz w:val="16"/>
            <w:szCs w:val="16"/>
          </w:rPr>
          <w:t>https://secure.ssa.gov/poms.nsf/lnx/0501130140</w:t>
        </w:r>
      </w:hyperlink>
      <w:r w:rsidRPr="00E16326">
        <w:rPr>
          <w:rFonts w:cs="Tahoma"/>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Bold">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3130" w14:textId="77777777" w:rsidR="00400316" w:rsidRDefault="004003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C8A8" w14:textId="0F9336FF" w:rsidR="00263345" w:rsidRPr="00263345" w:rsidRDefault="00400316" w:rsidP="00677E3E">
    <w:pPr>
      <w:pStyle w:val="Footer"/>
      <w:jc w:val="right"/>
      <w:rPr>
        <w:sz w:val="20"/>
        <w:szCs w:val="20"/>
      </w:rPr>
    </w:pPr>
    <w:r>
      <w:rPr>
        <w:sz w:val="20"/>
        <w:szCs w:val="20"/>
      </w:rPr>
      <w:t xml:space="preserve">DRAFT </w:t>
    </w:r>
    <w:r w:rsidR="00263345" w:rsidRPr="00263345">
      <w:rPr>
        <w:sz w:val="20"/>
        <w:szCs w:val="20"/>
      </w:rPr>
      <w:t xml:space="preserve">End the Family Caregiver Penalty – May 11, 2026 – Page </w:t>
    </w:r>
    <w:r w:rsidR="00263345" w:rsidRPr="00263345">
      <w:rPr>
        <w:sz w:val="20"/>
        <w:szCs w:val="20"/>
      </w:rPr>
      <w:fldChar w:fldCharType="begin"/>
    </w:r>
    <w:r w:rsidR="00263345" w:rsidRPr="00263345">
      <w:rPr>
        <w:sz w:val="20"/>
        <w:szCs w:val="20"/>
      </w:rPr>
      <w:instrText xml:space="preserve"> PAGE   \* MERGEFORMAT </w:instrText>
    </w:r>
    <w:r w:rsidR="00263345" w:rsidRPr="00263345">
      <w:rPr>
        <w:sz w:val="20"/>
        <w:szCs w:val="20"/>
      </w:rPr>
      <w:fldChar w:fldCharType="separate"/>
    </w:r>
    <w:r w:rsidR="00263345" w:rsidRPr="00263345">
      <w:rPr>
        <w:noProof/>
        <w:sz w:val="20"/>
        <w:szCs w:val="20"/>
      </w:rPr>
      <w:t>1</w:t>
    </w:r>
    <w:r w:rsidR="00263345" w:rsidRPr="00263345">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BB05" w14:textId="7C8ACFDA" w:rsidR="00677E3E" w:rsidRPr="00263345" w:rsidRDefault="00677E3E" w:rsidP="0026334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6DD1" w14:textId="25595AC6" w:rsidR="00263345" w:rsidRPr="00263345" w:rsidRDefault="00400316" w:rsidP="00677E3E">
    <w:pPr>
      <w:pStyle w:val="Footer"/>
      <w:jc w:val="right"/>
      <w:rPr>
        <w:sz w:val="20"/>
        <w:szCs w:val="20"/>
      </w:rPr>
    </w:pPr>
    <w:r>
      <w:rPr>
        <w:sz w:val="20"/>
        <w:szCs w:val="20"/>
      </w:rPr>
      <w:t xml:space="preserve">DRAFT </w:t>
    </w:r>
    <w:r w:rsidR="00263345" w:rsidRPr="00263345">
      <w:rPr>
        <w:sz w:val="20"/>
        <w:szCs w:val="20"/>
      </w:rPr>
      <w:t xml:space="preserve">Disregard the Value of Non-Liquid Assets – May 11, 2026 – Page </w:t>
    </w:r>
    <w:r w:rsidR="00263345" w:rsidRPr="00263345">
      <w:rPr>
        <w:sz w:val="20"/>
        <w:szCs w:val="20"/>
      </w:rPr>
      <w:fldChar w:fldCharType="begin"/>
    </w:r>
    <w:r w:rsidR="00263345" w:rsidRPr="00263345">
      <w:rPr>
        <w:sz w:val="20"/>
        <w:szCs w:val="20"/>
      </w:rPr>
      <w:instrText xml:space="preserve"> PAGE   \* MERGEFORMAT </w:instrText>
    </w:r>
    <w:r w:rsidR="00263345" w:rsidRPr="00263345">
      <w:rPr>
        <w:sz w:val="20"/>
        <w:szCs w:val="20"/>
      </w:rPr>
      <w:fldChar w:fldCharType="separate"/>
    </w:r>
    <w:r w:rsidR="00263345" w:rsidRPr="00263345">
      <w:rPr>
        <w:noProof/>
        <w:sz w:val="20"/>
        <w:szCs w:val="20"/>
      </w:rPr>
      <w:t>1</w:t>
    </w:r>
    <w:r w:rsidR="00263345" w:rsidRPr="00263345">
      <w:rPr>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F5A2" w14:textId="2865BB0A" w:rsidR="00B73977" w:rsidRPr="0034178C" w:rsidRDefault="0002541B" w:rsidP="0034178C">
    <w:pPr>
      <w:pStyle w:val="Footer"/>
      <w:jc w:val="right"/>
      <w:rPr>
        <w:sz w:val="20"/>
        <w:szCs w:val="20"/>
      </w:rPr>
    </w:pPr>
    <w:r>
      <w:rPr>
        <w:sz w:val="20"/>
        <w:szCs w:val="20"/>
      </w:rPr>
      <w:t>Blank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B9F" w14:textId="77777777" w:rsidR="00400316" w:rsidRDefault="00400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F3EB" w14:textId="77777777" w:rsidR="0045187D" w:rsidRDefault="0045187D" w:rsidP="0045187D">
    <w:pPr>
      <w:pStyle w:val="Footer"/>
      <w:jc w:val="right"/>
    </w:pPr>
    <w:r>
      <w:t xml:space="preserve">Testing Section 1 Footer: </w:t>
    </w:r>
    <w:r w:rsidRPr="0045187D">
      <w:rPr>
        <w:b/>
        <w:bCs/>
      </w:rPr>
      <w:fldChar w:fldCharType="begin"/>
    </w:r>
    <w:r w:rsidRPr="0045187D">
      <w:rPr>
        <w:b/>
        <w:bCs/>
      </w:rPr>
      <w:instrText xml:space="preserve"> STYLEREF  "Heading 1"  \* MERGEFORMAT </w:instrText>
    </w:r>
    <w:r w:rsidRPr="0045187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7027" w14:textId="5EE3D2E9" w:rsidR="0034178C" w:rsidRPr="008276D5" w:rsidRDefault="00400316" w:rsidP="008276D5">
    <w:pPr>
      <w:pStyle w:val="Footer"/>
      <w:jc w:val="right"/>
      <w:rPr>
        <w:sz w:val="20"/>
        <w:szCs w:val="20"/>
      </w:rPr>
    </w:pPr>
    <w:r>
      <w:rPr>
        <w:sz w:val="20"/>
        <w:szCs w:val="20"/>
      </w:rPr>
      <w:t xml:space="preserve">DRAFT </w:t>
    </w:r>
    <w:r w:rsidR="008276D5" w:rsidRPr="008276D5">
      <w:rPr>
        <w:sz w:val="20"/>
        <w:szCs w:val="20"/>
      </w:rPr>
      <w:t xml:space="preserve">Simplifying Access to Medicare Savings Programs – May 11, 2026 – Page </w:t>
    </w:r>
    <w:r w:rsidR="008276D5" w:rsidRPr="008276D5">
      <w:rPr>
        <w:sz w:val="20"/>
        <w:szCs w:val="20"/>
      </w:rPr>
      <w:fldChar w:fldCharType="begin"/>
    </w:r>
    <w:r w:rsidR="008276D5" w:rsidRPr="008276D5">
      <w:rPr>
        <w:sz w:val="20"/>
        <w:szCs w:val="20"/>
      </w:rPr>
      <w:instrText xml:space="preserve"> PAGE   \* MERGEFORMAT </w:instrText>
    </w:r>
    <w:r w:rsidR="008276D5" w:rsidRPr="008276D5">
      <w:rPr>
        <w:sz w:val="20"/>
        <w:szCs w:val="20"/>
      </w:rPr>
      <w:fldChar w:fldCharType="separate"/>
    </w:r>
    <w:r w:rsidR="008276D5" w:rsidRPr="008276D5">
      <w:rPr>
        <w:noProof/>
        <w:sz w:val="20"/>
        <w:szCs w:val="20"/>
      </w:rPr>
      <w:t>1</w:t>
    </w:r>
    <w:r w:rsidR="008276D5" w:rsidRPr="008276D5">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CD84" w14:textId="06060FB5" w:rsidR="008276D5" w:rsidRPr="008276D5" w:rsidRDefault="008276D5" w:rsidP="008276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07A4" w14:textId="7DB4F9A2" w:rsidR="008276D5" w:rsidRPr="00263345" w:rsidRDefault="00400316" w:rsidP="008276D5">
    <w:pPr>
      <w:pStyle w:val="Footer"/>
      <w:jc w:val="right"/>
      <w:rPr>
        <w:sz w:val="20"/>
        <w:szCs w:val="20"/>
      </w:rPr>
    </w:pPr>
    <w:r>
      <w:rPr>
        <w:sz w:val="20"/>
        <w:szCs w:val="20"/>
      </w:rPr>
      <w:t xml:space="preserve">DRAFT </w:t>
    </w:r>
    <w:r w:rsidR="008276D5" w:rsidRPr="00263345">
      <w:rPr>
        <w:sz w:val="20"/>
        <w:szCs w:val="20"/>
      </w:rPr>
      <w:t xml:space="preserve">Eliminate the Asset Test – May 11, 2026 – Page </w:t>
    </w:r>
    <w:r w:rsidR="008276D5" w:rsidRPr="00263345">
      <w:rPr>
        <w:sz w:val="20"/>
        <w:szCs w:val="20"/>
      </w:rPr>
      <w:fldChar w:fldCharType="begin"/>
    </w:r>
    <w:r w:rsidR="008276D5" w:rsidRPr="00263345">
      <w:rPr>
        <w:sz w:val="20"/>
        <w:szCs w:val="20"/>
      </w:rPr>
      <w:instrText xml:space="preserve"> PAGE   \* MERGEFORMAT </w:instrText>
    </w:r>
    <w:r w:rsidR="008276D5" w:rsidRPr="00263345">
      <w:rPr>
        <w:sz w:val="20"/>
        <w:szCs w:val="20"/>
      </w:rPr>
      <w:fldChar w:fldCharType="separate"/>
    </w:r>
    <w:r w:rsidR="008276D5" w:rsidRPr="00263345">
      <w:rPr>
        <w:noProof/>
        <w:sz w:val="20"/>
        <w:szCs w:val="20"/>
      </w:rPr>
      <w:t>1</w:t>
    </w:r>
    <w:r w:rsidR="008276D5" w:rsidRPr="00263345">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2EBD" w14:textId="0FF4D6BD" w:rsidR="00677E3E" w:rsidRPr="00677E3E" w:rsidRDefault="00677E3E" w:rsidP="00677E3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7845" w14:textId="2504934C" w:rsidR="00677E3E" w:rsidRPr="00263345" w:rsidRDefault="00400316" w:rsidP="00677E3E">
    <w:pPr>
      <w:pStyle w:val="Footer"/>
      <w:jc w:val="right"/>
      <w:rPr>
        <w:sz w:val="20"/>
        <w:szCs w:val="20"/>
      </w:rPr>
    </w:pPr>
    <w:r>
      <w:rPr>
        <w:sz w:val="20"/>
        <w:szCs w:val="20"/>
      </w:rPr>
      <w:t xml:space="preserve">DRAFT </w:t>
    </w:r>
    <w:r w:rsidR="00677E3E" w:rsidRPr="00263345">
      <w:rPr>
        <w:sz w:val="20"/>
        <w:szCs w:val="20"/>
      </w:rPr>
      <w:t xml:space="preserve">Flatten the Benefit Cliff – May 11, 2026 – Page </w:t>
    </w:r>
    <w:r w:rsidR="00677E3E" w:rsidRPr="00263345">
      <w:rPr>
        <w:sz w:val="20"/>
        <w:szCs w:val="20"/>
      </w:rPr>
      <w:fldChar w:fldCharType="begin"/>
    </w:r>
    <w:r w:rsidR="00677E3E" w:rsidRPr="00263345">
      <w:rPr>
        <w:sz w:val="20"/>
        <w:szCs w:val="20"/>
      </w:rPr>
      <w:instrText xml:space="preserve"> PAGE   \* MERGEFORMAT </w:instrText>
    </w:r>
    <w:r w:rsidR="00677E3E" w:rsidRPr="00263345">
      <w:rPr>
        <w:sz w:val="20"/>
        <w:szCs w:val="20"/>
      </w:rPr>
      <w:fldChar w:fldCharType="separate"/>
    </w:r>
    <w:r w:rsidR="00677E3E" w:rsidRPr="00263345">
      <w:rPr>
        <w:noProof/>
        <w:sz w:val="20"/>
        <w:szCs w:val="20"/>
      </w:rPr>
      <w:t>1</w:t>
    </w:r>
    <w:r w:rsidR="00677E3E" w:rsidRPr="00263345">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D190" w14:textId="432683E6" w:rsidR="00677E3E" w:rsidRPr="00263345" w:rsidRDefault="00677E3E" w:rsidP="00263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D8A4" w14:textId="77777777" w:rsidR="005F45CD" w:rsidRPr="00C20014" w:rsidRDefault="005F45CD" w:rsidP="0014057A">
      <w:pPr>
        <w:pStyle w:val="Footer"/>
      </w:pPr>
      <w:r>
        <w:separator/>
      </w:r>
    </w:p>
  </w:footnote>
  <w:footnote w:type="continuationSeparator" w:id="0">
    <w:p w14:paraId="3C654888" w14:textId="77777777" w:rsidR="005F45CD" w:rsidRDefault="005F45CD" w:rsidP="0014057A">
      <w:r>
        <w:continuationSeparator/>
      </w:r>
    </w:p>
    <w:p w14:paraId="149C53E3" w14:textId="77777777" w:rsidR="005F45CD" w:rsidRDefault="005F45CD" w:rsidP="0014057A"/>
  </w:footnote>
  <w:footnote w:type="continuationNotice" w:id="1">
    <w:p w14:paraId="728230C0" w14:textId="77777777" w:rsidR="005F45CD" w:rsidRDefault="005F45CD" w:rsidP="00140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7EA5" w14:textId="77777777" w:rsidR="00400316" w:rsidRDefault="00400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5223" w14:textId="77777777" w:rsidR="00400316" w:rsidRDefault="00400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8F8" w14:textId="77777777" w:rsidR="00400316" w:rsidRDefault="00400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6307" w14:textId="77777777" w:rsidR="0034178C" w:rsidRDefault="003417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23C2" w14:textId="77777777" w:rsidR="008276D5" w:rsidRDefault="008276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06E9" w14:textId="77777777" w:rsidR="0034178C" w:rsidRDefault="0034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13F"/>
    <w:multiLevelType w:val="hybridMultilevel"/>
    <w:tmpl w:val="E7D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5A96"/>
    <w:multiLevelType w:val="hybridMultilevel"/>
    <w:tmpl w:val="D678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95D4E"/>
    <w:multiLevelType w:val="hybridMultilevel"/>
    <w:tmpl w:val="8F2C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D4105"/>
    <w:multiLevelType w:val="hybridMultilevel"/>
    <w:tmpl w:val="2C66D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5656F"/>
    <w:multiLevelType w:val="hybridMultilevel"/>
    <w:tmpl w:val="3B9A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36B2"/>
    <w:multiLevelType w:val="hybridMultilevel"/>
    <w:tmpl w:val="FD601736"/>
    <w:lvl w:ilvl="0" w:tplc="2B00E474">
      <w:start w:val="1"/>
      <w:numFmt w:val="bullet"/>
      <w:lvlText w:val=""/>
      <w:lvlJc w:val="left"/>
      <w:pPr>
        <w:ind w:left="360" w:hanging="360"/>
      </w:pPr>
      <w:rPr>
        <w:rFonts w:ascii="Symbol" w:hAnsi="Symbol" w:hint="default"/>
      </w:rPr>
    </w:lvl>
    <w:lvl w:ilvl="1" w:tplc="DD8618C8">
      <w:start w:val="1"/>
      <w:numFmt w:val="bullet"/>
      <w:lvlText w:val="o"/>
      <w:lvlJc w:val="left"/>
      <w:pPr>
        <w:ind w:left="1080" w:hanging="360"/>
      </w:pPr>
      <w:rPr>
        <w:rFonts w:ascii="Courier New" w:hAnsi="Courier New" w:hint="default"/>
      </w:rPr>
    </w:lvl>
    <w:lvl w:ilvl="2" w:tplc="1204703E" w:tentative="1">
      <w:start w:val="1"/>
      <w:numFmt w:val="bullet"/>
      <w:lvlText w:val=""/>
      <w:lvlJc w:val="left"/>
      <w:pPr>
        <w:ind w:left="1800" w:hanging="360"/>
      </w:pPr>
      <w:rPr>
        <w:rFonts w:ascii="Wingdings" w:hAnsi="Wingdings" w:hint="default"/>
      </w:rPr>
    </w:lvl>
    <w:lvl w:ilvl="3" w:tplc="6B6A4DE8" w:tentative="1">
      <w:start w:val="1"/>
      <w:numFmt w:val="bullet"/>
      <w:lvlText w:val=""/>
      <w:lvlJc w:val="left"/>
      <w:pPr>
        <w:ind w:left="2520" w:hanging="360"/>
      </w:pPr>
      <w:rPr>
        <w:rFonts w:ascii="Symbol" w:hAnsi="Symbol" w:hint="default"/>
      </w:rPr>
    </w:lvl>
    <w:lvl w:ilvl="4" w:tplc="3146BA2A" w:tentative="1">
      <w:start w:val="1"/>
      <w:numFmt w:val="bullet"/>
      <w:lvlText w:val="o"/>
      <w:lvlJc w:val="left"/>
      <w:pPr>
        <w:ind w:left="3240" w:hanging="360"/>
      </w:pPr>
      <w:rPr>
        <w:rFonts w:ascii="Courier New" w:hAnsi="Courier New" w:hint="default"/>
      </w:rPr>
    </w:lvl>
    <w:lvl w:ilvl="5" w:tplc="5EA67FA8" w:tentative="1">
      <w:start w:val="1"/>
      <w:numFmt w:val="bullet"/>
      <w:lvlText w:val=""/>
      <w:lvlJc w:val="left"/>
      <w:pPr>
        <w:ind w:left="3960" w:hanging="360"/>
      </w:pPr>
      <w:rPr>
        <w:rFonts w:ascii="Wingdings" w:hAnsi="Wingdings" w:hint="default"/>
      </w:rPr>
    </w:lvl>
    <w:lvl w:ilvl="6" w:tplc="F412E4A2" w:tentative="1">
      <w:start w:val="1"/>
      <w:numFmt w:val="bullet"/>
      <w:lvlText w:val=""/>
      <w:lvlJc w:val="left"/>
      <w:pPr>
        <w:ind w:left="4680" w:hanging="360"/>
      </w:pPr>
      <w:rPr>
        <w:rFonts w:ascii="Symbol" w:hAnsi="Symbol" w:hint="default"/>
      </w:rPr>
    </w:lvl>
    <w:lvl w:ilvl="7" w:tplc="98161A38" w:tentative="1">
      <w:start w:val="1"/>
      <w:numFmt w:val="bullet"/>
      <w:lvlText w:val="o"/>
      <w:lvlJc w:val="left"/>
      <w:pPr>
        <w:ind w:left="5400" w:hanging="360"/>
      </w:pPr>
      <w:rPr>
        <w:rFonts w:ascii="Courier New" w:hAnsi="Courier New" w:hint="default"/>
      </w:rPr>
    </w:lvl>
    <w:lvl w:ilvl="8" w:tplc="20A6040A" w:tentative="1">
      <w:start w:val="1"/>
      <w:numFmt w:val="bullet"/>
      <w:lvlText w:val=""/>
      <w:lvlJc w:val="left"/>
      <w:pPr>
        <w:ind w:left="6120" w:hanging="360"/>
      </w:pPr>
      <w:rPr>
        <w:rFonts w:ascii="Wingdings" w:hAnsi="Wingdings" w:hint="default"/>
      </w:rPr>
    </w:lvl>
  </w:abstractNum>
  <w:abstractNum w:abstractNumId="6" w15:restartNumberingAfterBreak="0">
    <w:nsid w:val="1EB95558"/>
    <w:multiLevelType w:val="hybridMultilevel"/>
    <w:tmpl w:val="9C90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E0A3A"/>
    <w:multiLevelType w:val="hybridMultilevel"/>
    <w:tmpl w:val="12B4E1FC"/>
    <w:lvl w:ilvl="0" w:tplc="897AB23E">
      <w:start w:val="1"/>
      <w:numFmt w:val="bullet"/>
      <w:lvlText w:val=""/>
      <w:lvlJc w:val="left"/>
      <w:pPr>
        <w:ind w:left="360" w:hanging="360"/>
      </w:pPr>
      <w:rPr>
        <w:rFonts w:ascii="Symbol" w:hAnsi="Symbol" w:hint="default"/>
      </w:rPr>
    </w:lvl>
    <w:lvl w:ilvl="1" w:tplc="9388425A" w:tentative="1">
      <w:start w:val="1"/>
      <w:numFmt w:val="bullet"/>
      <w:lvlText w:val="o"/>
      <w:lvlJc w:val="left"/>
      <w:pPr>
        <w:ind w:left="1080" w:hanging="360"/>
      </w:pPr>
      <w:rPr>
        <w:rFonts w:ascii="Courier New" w:hAnsi="Courier New" w:hint="default"/>
      </w:rPr>
    </w:lvl>
    <w:lvl w:ilvl="2" w:tplc="CD2211A4" w:tentative="1">
      <w:start w:val="1"/>
      <w:numFmt w:val="bullet"/>
      <w:lvlText w:val=""/>
      <w:lvlJc w:val="left"/>
      <w:pPr>
        <w:ind w:left="1800" w:hanging="360"/>
      </w:pPr>
      <w:rPr>
        <w:rFonts w:ascii="Wingdings" w:hAnsi="Wingdings" w:hint="default"/>
      </w:rPr>
    </w:lvl>
    <w:lvl w:ilvl="3" w:tplc="340044D2" w:tentative="1">
      <w:start w:val="1"/>
      <w:numFmt w:val="bullet"/>
      <w:lvlText w:val=""/>
      <w:lvlJc w:val="left"/>
      <w:pPr>
        <w:ind w:left="2520" w:hanging="360"/>
      </w:pPr>
      <w:rPr>
        <w:rFonts w:ascii="Symbol" w:hAnsi="Symbol" w:hint="default"/>
      </w:rPr>
    </w:lvl>
    <w:lvl w:ilvl="4" w:tplc="A0E06170" w:tentative="1">
      <w:start w:val="1"/>
      <w:numFmt w:val="bullet"/>
      <w:lvlText w:val="o"/>
      <w:lvlJc w:val="left"/>
      <w:pPr>
        <w:ind w:left="3240" w:hanging="360"/>
      </w:pPr>
      <w:rPr>
        <w:rFonts w:ascii="Courier New" w:hAnsi="Courier New" w:hint="default"/>
      </w:rPr>
    </w:lvl>
    <w:lvl w:ilvl="5" w:tplc="6A7C9412" w:tentative="1">
      <w:start w:val="1"/>
      <w:numFmt w:val="bullet"/>
      <w:lvlText w:val=""/>
      <w:lvlJc w:val="left"/>
      <w:pPr>
        <w:ind w:left="3960" w:hanging="360"/>
      </w:pPr>
      <w:rPr>
        <w:rFonts w:ascii="Wingdings" w:hAnsi="Wingdings" w:hint="default"/>
      </w:rPr>
    </w:lvl>
    <w:lvl w:ilvl="6" w:tplc="E5AA49EC" w:tentative="1">
      <w:start w:val="1"/>
      <w:numFmt w:val="bullet"/>
      <w:lvlText w:val=""/>
      <w:lvlJc w:val="left"/>
      <w:pPr>
        <w:ind w:left="4680" w:hanging="360"/>
      </w:pPr>
      <w:rPr>
        <w:rFonts w:ascii="Symbol" w:hAnsi="Symbol" w:hint="default"/>
      </w:rPr>
    </w:lvl>
    <w:lvl w:ilvl="7" w:tplc="62723D80" w:tentative="1">
      <w:start w:val="1"/>
      <w:numFmt w:val="bullet"/>
      <w:lvlText w:val="o"/>
      <w:lvlJc w:val="left"/>
      <w:pPr>
        <w:ind w:left="5400" w:hanging="360"/>
      </w:pPr>
      <w:rPr>
        <w:rFonts w:ascii="Courier New" w:hAnsi="Courier New" w:hint="default"/>
      </w:rPr>
    </w:lvl>
    <w:lvl w:ilvl="8" w:tplc="CB68E608" w:tentative="1">
      <w:start w:val="1"/>
      <w:numFmt w:val="bullet"/>
      <w:lvlText w:val=""/>
      <w:lvlJc w:val="left"/>
      <w:pPr>
        <w:ind w:left="6120" w:hanging="360"/>
      </w:pPr>
      <w:rPr>
        <w:rFonts w:ascii="Wingdings" w:hAnsi="Wingdings" w:hint="default"/>
      </w:rPr>
    </w:lvl>
  </w:abstractNum>
  <w:abstractNum w:abstractNumId="8" w15:restartNumberingAfterBreak="0">
    <w:nsid w:val="2EBD50BD"/>
    <w:multiLevelType w:val="multilevel"/>
    <w:tmpl w:val="3B6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17AD4"/>
    <w:multiLevelType w:val="hybridMultilevel"/>
    <w:tmpl w:val="CF9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606B3"/>
    <w:multiLevelType w:val="hybridMultilevel"/>
    <w:tmpl w:val="3E64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11EE9"/>
    <w:multiLevelType w:val="hybridMultilevel"/>
    <w:tmpl w:val="1548D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976B9E"/>
    <w:multiLevelType w:val="hybridMultilevel"/>
    <w:tmpl w:val="CA7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E4B08"/>
    <w:multiLevelType w:val="multilevel"/>
    <w:tmpl w:val="5EDC7960"/>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360" w:hanging="360"/>
      </w:pPr>
      <w:rPr>
        <w:rFonts w:ascii="Courier New" w:hAnsi="Courier New" w:hint="default"/>
        <w:sz w:val="20"/>
      </w:rPr>
    </w:lvl>
    <w:lvl w:ilvl="2" w:tentative="1">
      <w:start w:val="1"/>
      <w:numFmt w:val="bullet"/>
      <w:lvlText w:val=""/>
      <w:lvlJc w:val="left"/>
      <w:pPr>
        <w:tabs>
          <w:tab w:val="num" w:pos="2160"/>
        </w:tabs>
        <w:ind w:left="1080" w:hanging="360"/>
      </w:pPr>
      <w:rPr>
        <w:rFonts w:ascii="Wingdings" w:hAnsi="Wingdings" w:hint="default"/>
        <w:sz w:val="20"/>
      </w:rPr>
    </w:lvl>
    <w:lvl w:ilvl="3" w:tentative="1">
      <w:start w:val="1"/>
      <w:numFmt w:val="bullet"/>
      <w:lvlText w:val=""/>
      <w:lvlJc w:val="left"/>
      <w:pPr>
        <w:tabs>
          <w:tab w:val="num" w:pos="2880"/>
        </w:tabs>
        <w:ind w:left="1800" w:hanging="360"/>
      </w:pPr>
      <w:rPr>
        <w:rFonts w:ascii="Wingdings" w:hAnsi="Wingdings" w:hint="default"/>
        <w:sz w:val="20"/>
      </w:rPr>
    </w:lvl>
    <w:lvl w:ilvl="4" w:tentative="1">
      <w:start w:val="1"/>
      <w:numFmt w:val="bullet"/>
      <w:lvlText w:val=""/>
      <w:lvlJc w:val="left"/>
      <w:pPr>
        <w:tabs>
          <w:tab w:val="num" w:pos="3600"/>
        </w:tabs>
        <w:ind w:left="2520" w:hanging="360"/>
      </w:pPr>
      <w:rPr>
        <w:rFonts w:ascii="Wingdings" w:hAnsi="Wingdings" w:hint="default"/>
        <w:sz w:val="20"/>
      </w:rPr>
    </w:lvl>
    <w:lvl w:ilvl="5" w:tentative="1">
      <w:start w:val="1"/>
      <w:numFmt w:val="bullet"/>
      <w:lvlText w:val=""/>
      <w:lvlJc w:val="left"/>
      <w:pPr>
        <w:tabs>
          <w:tab w:val="num" w:pos="4320"/>
        </w:tabs>
        <w:ind w:left="3240" w:hanging="360"/>
      </w:pPr>
      <w:rPr>
        <w:rFonts w:ascii="Wingdings" w:hAnsi="Wingdings" w:hint="default"/>
        <w:sz w:val="20"/>
      </w:rPr>
    </w:lvl>
    <w:lvl w:ilvl="6" w:tentative="1">
      <w:start w:val="1"/>
      <w:numFmt w:val="bullet"/>
      <w:lvlText w:val=""/>
      <w:lvlJc w:val="left"/>
      <w:pPr>
        <w:tabs>
          <w:tab w:val="num" w:pos="5040"/>
        </w:tabs>
        <w:ind w:left="3960" w:hanging="360"/>
      </w:pPr>
      <w:rPr>
        <w:rFonts w:ascii="Wingdings" w:hAnsi="Wingdings" w:hint="default"/>
        <w:sz w:val="20"/>
      </w:rPr>
    </w:lvl>
    <w:lvl w:ilvl="7" w:tentative="1">
      <w:start w:val="1"/>
      <w:numFmt w:val="bullet"/>
      <w:lvlText w:val=""/>
      <w:lvlJc w:val="left"/>
      <w:pPr>
        <w:tabs>
          <w:tab w:val="num" w:pos="5760"/>
        </w:tabs>
        <w:ind w:left="4680" w:hanging="360"/>
      </w:pPr>
      <w:rPr>
        <w:rFonts w:ascii="Wingdings" w:hAnsi="Wingdings" w:hint="default"/>
        <w:sz w:val="20"/>
      </w:rPr>
    </w:lvl>
    <w:lvl w:ilvl="8" w:tentative="1">
      <w:start w:val="1"/>
      <w:numFmt w:val="bullet"/>
      <w:lvlText w:val=""/>
      <w:lvlJc w:val="left"/>
      <w:pPr>
        <w:tabs>
          <w:tab w:val="num" w:pos="6480"/>
        </w:tabs>
        <w:ind w:left="5400" w:hanging="360"/>
      </w:pPr>
      <w:rPr>
        <w:rFonts w:ascii="Wingdings" w:hAnsi="Wingdings" w:hint="default"/>
        <w:sz w:val="20"/>
      </w:rPr>
    </w:lvl>
  </w:abstractNum>
  <w:abstractNum w:abstractNumId="14" w15:restartNumberingAfterBreak="0">
    <w:nsid w:val="39540489"/>
    <w:multiLevelType w:val="multilevel"/>
    <w:tmpl w:val="5EDA6A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7088F"/>
    <w:multiLevelType w:val="hybridMultilevel"/>
    <w:tmpl w:val="F65CF11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CC877A6"/>
    <w:multiLevelType w:val="hybridMultilevel"/>
    <w:tmpl w:val="BFE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77C79"/>
    <w:multiLevelType w:val="hybridMultilevel"/>
    <w:tmpl w:val="6216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154D8"/>
    <w:multiLevelType w:val="hybridMultilevel"/>
    <w:tmpl w:val="71C63CF6"/>
    <w:lvl w:ilvl="0" w:tplc="24DC7B72">
      <w:start w:val="1"/>
      <w:numFmt w:val="bullet"/>
      <w:lvlText w:val=""/>
      <w:lvlJc w:val="left"/>
      <w:pPr>
        <w:ind w:left="792" w:hanging="360"/>
      </w:pPr>
      <w:rPr>
        <w:rFonts w:ascii="Symbol" w:hAnsi="Symbol" w:hint="default"/>
        <w:b/>
        <w:i w:val="0"/>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5E39"/>
    <w:multiLevelType w:val="hybridMultilevel"/>
    <w:tmpl w:val="FDAA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D5C00"/>
    <w:multiLevelType w:val="hybridMultilevel"/>
    <w:tmpl w:val="6BB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15DBE"/>
    <w:multiLevelType w:val="hybridMultilevel"/>
    <w:tmpl w:val="F4F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4F90C"/>
    <w:multiLevelType w:val="hybridMultilevel"/>
    <w:tmpl w:val="12BAE1CC"/>
    <w:lvl w:ilvl="0" w:tplc="0C66031C">
      <w:start w:val="1"/>
      <w:numFmt w:val="bullet"/>
      <w:lvlText w:val=""/>
      <w:lvlJc w:val="left"/>
      <w:pPr>
        <w:ind w:left="720" w:hanging="360"/>
      </w:pPr>
      <w:rPr>
        <w:rFonts w:ascii="Symbol" w:hAnsi="Symbol" w:hint="default"/>
      </w:rPr>
    </w:lvl>
    <w:lvl w:ilvl="1" w:tplc="8D6C0268">
      <w:start w:val="1"/>
      <w:numFmt w:val="bullet"/>
      <w:lvlText w:val="o"/>
      <w:lvlJc w:val="left"/>
      <w:pPr>
        <w:ind w:left="1440" w:hanging="360"/>
      </w:pPr>
      <w:rPr>
        <w:rFonts w:ascii="Courier New" w:hAnsi="Courier New" w:hint="default"/>
      </w:rPr>
    </w:lvl>
    <w:lvl w:ilvl="2" w:tplc="CF767634">
      <w:start w:val="1"/>
      <w:numFmt w:val="bullet"/>
      <w:lvlText w:val=""/>
      <w:lvlJc w:val="left"/>
      <w:pPr>
        <w:ind w:left="2160" w:hanging="360"/>
      </w:pPr>
      <w:rPr>
        <w:rFonts w:ascii="Wingdings" w:hAnsi="Wingdings" w:hint="default"/>
      </w:rPr>
    </w:lvl>
    <w:lvl w:ilvl="3" w:tplc="310274D0">
      <w:start w:val="1"/>
      <w:numFmt w:val="bullet"/>
      <w:lvlText w:val=""/>
      <w:lvlJc w:val="left"/>
      <w:pPr>
        <w:ind w:left="2880" w:hanging="360"/>
      </w:pPr>
      <w:rPr>
        <w:rFonts w:ascii="Symbol" w:hAnsi="Symbol" w:hint="default"/>
      </w:rPr>
    </w:lvl>
    <w:lvl w:ilvl="4" w:tplc="CB3E876A">
      <w:start w:val="1"/>
      <w:numFmt w:val="bullet"/>
      <w:lvlText w:val="o"/>
      <w:lvlJc w:val="left"/>
      <w:pPr>
        <w:ind w:left="3600" w:hanging="360"/>
      </w:pPr>
      <w:rPr>
        <w:rFonts w:ascii="Courier New" w:hAnsi="Courier New" w:hint="default"/>
      </w:rPr>
    </w:lvl>
    <w:lvl w:ilvl="5" w:tplc="5622CA3A">
      <w:start w:val="1"/>
      <w:numFmt w:val="bullet"/>
      <w:lvlText w:val=""/>
      <w:lvlJc w:val="left"/>
      <w:pPr>
        <w:ind w:left="4320" w:hanging="360"/>
      </w:pPr>
      <w:rPr>
        <w:rFonts w:ascii="Wingdings" w:hAnsi="Wingdings" w:hint="default"/>
      </w:rPr>
    </w:lvl>
    <w:lvl w:ilvl="6" w:tplc="AFB2CB08">
      <w:start w:val="1"/>
      <w:numFmt w:val="bullet"/>
      <w:lvlText w:val=""/>
      <w:lvlJc w:val="left"/>
      <w:pPr>
        <w:ind w:left="5040" w:hanging="360"/>
      </w:pPr>
      <w:rPr>
        <w:rFonts w:ascii="Symbol" w:hAnsi="Symbol" w:hint="default"/>
      </w:rPr>
    </w:lvl>
    <w:lvl w:ilvl="7" w:tplc="8E48D392">
      <w:start w:val="1"/>
      <w:numFmt w:val="bullet"/>
      <w:lvlText w:val="o"/>
      <w:lvlJc w:val="left"/>
      <w:pPr>
        <w:ind w:left="5760" w:hanging="360"/>
      </w:pPr>
      <w:rPr>
        <w:rFonts w:ascii="Courier New" w:hAnsi="Courier New" w:hint="default"/>
      </w:rPr>
    </w:lvl>
    <w:lvl w:ilvl="8" w:tplc="FFA4CEBA">
      <w:start w:val="1"/>
      <w:numFmt w:val="bullet"/>
      <w:lvlText w:val=""/>
      <w:lvlJc w:val="left"/>
      <w:pPr>
        <w:ind w:left="6480" w:hanging="360"/>
      </w:pPr>
      <w:rPr>
        <w:rFonts w:ascii="Wingdings" w:hAnsi="Wingdings" w:hint="default"/>
      </w:rPr>
    </w:lvl>
  </w:abstractNum>
  <w:abstractNum w:abstractNumId="23" w15:restartNumberingAfterBreak="0">
    <w:nsid w:val="50EA5D27"/>
    <w:multiLevelType w:val="hybridMultilevel"/>
    <w:tmpl w:val="BDF8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61D7"/>
    <w:multiLevelType w:val="hybridMultilevel"/>
    <w:tmpl w:val="8A86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A0024"/>
    <w:multiLevelType w:val="hybridMultilevel"/>
    <w:tmpl w:val="247A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2C0D51"/>
    <w:multiLevelType w:val="hybridMultilevel"/>
    <w:tmpl w:val="BD26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608EA"/>
    <w:multiLevelType w:val="hybridMultilevel"/>
    <w:tmpl w:val="2820AB0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608453A"/>
    <w:multiLevelType w:val="hybridMultilevel"/>
    <w:tmpl w:val="275A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1360F7"/>
    <w:multiLevelType w:val="multilevel"/>
    <w:tmpl w:val="5E3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61622"/>
    <w:multiLevelType w:val="hybridMultilevel"/>
    <w:tmpl w:val="9AB2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929"/>
    <w:multiLevelType w:val="hybridMultilevel"/>
    <w:tmpl w:val="8626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31E82"/>
    <w:multiLevelType w:val="hybridMultilevel"/>
    <w:tmpl w:val="998E6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143872"/>
    <w:multiLevelType w:val="hybridMultilevel"/>
    <w:tmpl w:val="2612FBE8"/>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00CAA"/>
    <w:multiLevelType w:val="hybridMultilevel"/>
    <w:tmpl w:val="E9642664"/>
    <w:lvl w:ilvl="0" w:tplc="5EEAAF22">
      <w:start w:val="1"/>
      <w:numFmt w:val="bullet"/>
      <w:lvlText w:val=""/>
      <w:lvlJc w:val="left"/>
      <w:pPr>
        <w:ind w:left="360" w:hanging="360"/>
      </w:pPr>
      <w:rPr>
        <w:rFonts w:ascii="Symbol" w:hAnsi="Symbol" w:hint="default"/>
      </w:rPr>
    </w:lvl>
    <w:lvl w:ilvl="1" w:tplc="3DDC9BE2" w:tentative="1">
      <w:start w:val="1"/>
      <w:numFmt w:val="bullet"/>
      <w:lvlText w:val="o"/>
      <w:lvlJc w:val="left"/>
      <w:pPr>
        <w:ind w:left="1080" w:hanging="360"/>
      </w:pPr>
      <w:rPr>
        <w:rFonts w:ascii="Courier New" w:hAnsi="Courier New" w:hint="default"/>
      </w:rPr>
    </w:lvl>
    <w:lvl w:ilvl="2" w:tplc="CC02DEB0" w:tentative="1">
      <w:start w:val="1"/>
      <w:numFmt w:val="bullet"/>
      <w:lvlText w:val=""/>
      <w:lvlJc w:val="left"/>
      <w:pPr>
        <w:ind w:left="1800" w:hanging="360"/>
      </w:pPr>
      <w:rPr>
        <w:rFonts w:ascii="Wingdings" w:hAnsi="Wingdings" w:hint="default"/>
      </w:rPr>
    </w:lvl>
    <w:lvl w:ilvl="3" w:tplc="8E70CC4A" w:tentative="1">
      <w:start w:val="1"/>
      <w:numFmt w:val="bullet"/>
      <w:lvlText w:val=""/>
      <w:lvlJc w:val="left"/>
      <w:pPr>
        <w:ind w:left="2520" w:hanging="360"/>
      </w:pPr>
      <w:rPr>
        <w:rFonts w:ascii="Symbol" w:hAnsi="Symbol" w:hint="default"/>
      </w:rPr>
    </w:lvl>
    <w:lvl w:ilvl="4" w:tplc="C27C9BBC" w:tentative="1">
      <w:start w:val="1"/>
      <w:numFmt w:val="bullet"/>
      <w:lvlText w:val="o"/>
      <w:lvlJc w:val="left"/>
      <w:pPr>
        <w:ind w:left="3240" w:hanging="360"/>
      </w:pPr>
      <w:rPr>
        <w:rFonts w:ascii="Courier New" w:hAnsi="Courier New" w:hint="default"/>
      </w:rPr>
    </w:lvl>
    <w:lvl w:ilvl="5" w:tplc="142EA682" w:tentative="1">
      <w:start w:val="1"/>
      <w:numFmt w:val="bullet"/>
      <w:lvlText w:val=""/>
      <w:lvlJc w:val="left"/>
      <w:pPr>
        <w:ind w:left="3960" w:hanging="360"/>
      </w:pPr>
      <w:rPr>
        <w:rFonts w:ascii="Wingdings" w:hAnsi="Wingdings" w:hint="default"/>
      </w:rPr>
    </w:lvl>
    <w:lvl w:ilvl="6" w:tplc="439E903C" w:tentative="1">
      <w:start w:val="1"/>
      <w:numFmt w:val="bullet"/>
      <w:lvlText w:val=""/>
      <w:lvlJc w:val="left"/>
      <w:pPr>
        <w:ind w:left="4680" w:hanging="360"/>
      </w:pPr>
      <w:rPr>
        <w:rFonts w:ascii="Symbol" w:hAnsi="Symbol" w:hint="default"/>
      </w:rPr>
    </w:lvl>
    <w:lvl w:ilvl="7" w:tplc="C7B874F4" w:tentative="1">
      <w:start w:val="1"/>
      <w:numFmt w:val="bullet"/>
      <w:lvlText w:val="o"/>
      <w:lvlJc w:val="left"/>
      <w:pPr>
        <w:ind w:left="5400" w:hanging="360"/>
      </w:pPr>
      <w:rPr>
        <w:rFonts w:ascii="Courier New" w:hAnsi="Courier New" w:hint="default"/>
      </w:rPr>
    </w:lvl>
    <w:lvl w:ilvl="8" w:tplc="32E008FA" w:tentative="1">
      <w:start w:val="1"/>
      <w:numFmt w:val="bullet"/>
      <w:lvlText w:val=""/>
      <w:lvlJc w:val="left"/>
      <w:pPr>
        <w:ind w:left="6120" w:hanging="360"/>
      </w:pPr>
      <w:rPr>
        <w:rFonts w:ascii="Wingdings" w:hAnsi="Wingdings" w:hint="default"/>
      </w:rPr>
    </w:lvl>
  </w:abstractNum>
  <w:abstractNum w:abstractNumId="35" w15:restartNumberingAfterBreak="0">
    <w:nsid w:val="5F601E84"/>
    <w:multiLevelType w:val="hybridMultilevel"/>
    <w:tmpl w:val="DA66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087F10"/>
    <w:multiLevelType w:val="hybridMultilevel"/>
    <w:tmpl w:val="171E25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4D637C6"/>
    <w:multiLevelType w:val="hybridMultilevel"/>
    <w:tmpl w:val="CD5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A0CB8"/>
    <w:multiLevelType w:val="hybridMultilevel"/>
    <w:tmpl w:val="2726228E"/>
    <w:lvl w:ilvl="0" w:tplc="604E1A2C">
      <w:start w:val="1"/>
      <w:numFmt w:val="bullet"/>
      <w:lvlText w:val=""/>
      <w:lvlJc w:val="left"/>
      <w:pPr>
        <w:ind w:left="2520" w:hanging="360"/>
      </w:pPr>
      <w:rPr>
        <w:rFonts w:ascii="Symbol" w:hAnsi="Symbol" w:hint="default"/>
      </w:rPr>
    </w:lvl>
    <w:lvl w:ilvl="1" w:tplc="4F82BE50">
      <w:start w:val="1"/>
      <w:numFmt w:val="bullet"/>
      <w:lvlText w:val="o"/>
      <w:lvlJc w:val="left"/>
      <w:pPr>
        <w:ind w:left="3240" w:hanging="360"/>
      </w:pPr>
      <w:rPr>
        <w:rFonts w:ascii="Courier New" w:hAnsi="Courier New" w:hint="default"/>
      </w:rPr>
    </w:lvl>
    <w:lvl w:ilvl="2" w:tplc="BD669B28" w:tentative="1">
      <w:start w:val="1"/>
      <w:numFmt w:val="bullet"/>
      <w:lvlText w:val=""/>
      <w:lvlJc w:val="left"/>
      <w:pPr>
        <w:ind w:left="3960" w:hanging="360"/>
      </w:pPr>
      <w:rPr>
        <w:rFonts w:ascii="Wingdings" w:hAnsi="Wingdings" w:hint="default"/>
      </w:rPr>
    </w:lvl>
    <w:lvl w:ilvl="3" w:tplc="C33C6394" w:tentative="1">
      <w:start w:val="1"/>
      <w:numFmt w:val="bullet"/>
      <w:lvlText w:val=""/>
      <w:lvlJc w:val="left"/>
      <w:pPr>
        <w:ind w:left="4680" w:hanging="360"/>
      </w:pPr>
      <w:rPr>
        <w:rFonts w:ascii="Symbol" w:hAnsi="Symbol" w:hint="default"/>
      </w:rPr>
    </w:lvl>
    <w:lvl w:ilvl="4" w:tplc="AAA6455C" w:tentative="1">
      <w:start w:val="1"/>
      <w:numFmt w:val="bullet"/>
      <w:lvlText w:val="o"/>
      <w:lvlJc w:val="left"/>
      <w:pPr>
        <w:ind w:left="5400" w:hanging="360"/>
      </w:pPr>
      <w:rPr>
        <w:rFonts w:ascii="Courier New" w:hAnsi="Courier New" w:hint="default"/>
      </w:rPr>
    </w:lvl>
    <w:lvl w:ilvl="5" w:tplc="4DB8F250" w:tentative="1">
      <w:start w:val="1"/>
      <w:numFmt w:val="bullet"/>
      <w:lvlText w:val=""/>
      <w:lvlJc w:val="left"/>
      <w:pPr>
        <w:ind w:left="6120" w:hanging="360"/>
      </w:pPr>
      <w:rPr>
        <w:rFonts w:ascii="Wingdings" w:hAnsi="Wingdings" w:hint="default"/>
      </w:rPr>
    </w:lvl>
    <w:lvl w:ilvl="6" w:tplc="6DFA9528" w:tentative="1">
      <w:start w:val="1"/>
      <w:numFmt w:val="bullet"/>
      <w:lvlText w:val=""/>
      <w:lvlJc w:val="left"/>
      <w:pPr>
        <w:ind w:left="6840" w:hanging="360"/>
      </w:pPr>
      <w:rPr>
        <w:rFonts w:ascii="Symbol" w:hAnsi="Symbol" w:hint="default"/>
      </w:rPr>
    </w:lvl>
    <w:lvl w:ilvl="7" w:tplc="ACB64D54" w:tentative="1">
      <w:start w:val="1"/>
      <w:numFmt w:val="bullet"/>
      <w:lvlText w:val="o"/>
      <w:lvlJc w:val="left"/>
      <w:pPr>
        <w:ind w:left="7560" w:hanging="360"/>
      </w:pPr>
      <w:rPr>
        <w:rFonts w:ascii="Courier New" w:hAnsi="Courier New" w:hint="default"/>
      </w:rPr>
    </w:lvl>
    <w:lvl w:ilvl="8" w:tplc="0916E21A" w:tentative="1">
      <w:start w:val="1"/>
      <w:numFmt w:val="bullet"/>
      <w:lvlText w:val=""/>
      <w:lvlJc w:val="left"/>
      <w:pPr>
        <w:ind w:left="8280" w:hanging="360"/>
      </w:pPr>
      <w:rPr>
        <w:rFonts w:ascii="Wingdings" w:hAnsi="Wingdings" w:hint="default"/>
      </w:rPr>
    </w:lvl>
  </w:abstractNum>
  <w:abstractNum w:abstractNumId="39" w15:restartNumberingAfterBreak="0">
    <w:nsid w:val="757E46C9"/>
    <w:multiLevelType w:val="hybridMultilevel"/>
    <w:tmpl w:val="AF4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72751"/>
    <w:multiLevelType w:val="hybridMultilevel"/>
    <w:tmpl w:val="34FC2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E87E0B"/>
    <w:multiLevelType w:val="hybridMultilevel"/>
    <w:tmpl w:val="98F2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83E11"/>
    <w:multiLevelType w:val="hybridMultilevel"/>
    <w:tmpl w:val="A85661B2"/>
    <w:lvl w:ilvl="0" w:tplc="13227504">
      <w:start w:val="1"/>
      <w:numFmt w:val="bullet"/>
      <w:lvlText w:val=""/>
      <w:lvlJc w:val="left"/>
      <w:pPr>
        <w:ind w:left="360" w:hanging="360"/>
      </w:pPr>
      <w:rPr>
        <w:rFonts w:ascii="Symbol" w:hAnsi="Symbol" w:hint="default"/>
      </w:rPr>
    </w:lvl>
    <w:lvl w:ilvl="1" w:tplc="BD2CF18E" w:tentative="1">
      <w:start w:val="1"/>
      <w:numFmt w:val="bullet"/>
      <w:lvlText w:val="o"/>
      <w:lvlJc w:val="left"/>
      <w:pPr>
        <w:ind w:left="1080" w:hanging="360"/>
      </w:pPr>
      <w:rPr>
        <w:rFonts w:ascii="Courier New" w:hAnsi="Courier New" w:hint="default"/>
      </w:rPr>
    </w:lvl>
    <w:lvl w:ilvl="2" w:tplc="850A55F8" w:tentative="1">
      <w:start w:val="1"/>
      <w:numFmt w:val="bullet"/>
      <w:lvlText w:val=""/>
      <w:lvlJc w:val="left"/>
      <w:pPr>
        <w:ind w:left="1800" w:hanging="360"/>
      </w:pPr>
      <w:rPr>
        <w:rFonts w:ascii="Wingdings" w:hAnsi="Wingdings" w:hint="default"/>
      </w:rPr>
    </w:lvl>
    <w:lvl w:ilvl="3" w:tplc="8F4AA498" w:tentative="1">
      <w:start w:val="1"/>
      <w:numFmt w:val="bullet"/>
      <w:lvlText w:val=""/>
      <w:lvlJc w:val="left"/>
      <w:pPr>
        <w:ind w:left="2520" w:hanging="360"/>
      </w:pPr>
      <w:rPr>
        <w:rFonts w:ascii="Symbol" w:hAnsi="Symbol" w:hint="default"/>
      </w:rPr>
    </w:lvl>
    <w:lvl w:ilvl="4" w:tplc="FEAA454A" w:tentative="1">
      <w:start w:val="1"/>
      <w:numFmt w:val="bullet"/>
      <w:lvlText w:val="o"/>
      <w:lvlJc w:val="left"/>
      <w:pPr>
        <w:ind w:left="3240" w:hanging="360"/>
      </w:pPr>
      <w:rPr>
        <w:rFonts w:ascii="Courier New" w:hAnsi="Courier New" w:hint="default"/>
      </w:rPr>
    </w:lvl>
    <w:lvl w:ilvl="5" w:tplc="916C731E" w:tentative="1">
      <w:start w:val="1"/>
      <w:numFmt w:val="bullet"/>
      <w:lvlText w:val=""/>
      <w:lvlJc w:val="left"/>
      <w:pPr>
        <w:ind w:left="3960" w:hanging="360"/>
      </w:pPr>
      <w:rPr>
        <w:rFonts w:ascii="Wingdings" w:hAnsi="Wingdings" w:hint="default"/>
      </w:rPr>
    </w:lvl>
    <w:lvl w:ilvl="6" w:tplc="C75E039A" w:tentative="1">
      <w:start w:val="1"/>
      <w:numFmt w:val="bullet"/>
      <w:lvlText w:val=""/>
      <w:lvlJc w:val="left"/>
      <w:pPr>
        <w:ind w:left="4680" w:hanging="360"/>
      </w:pPr>
      <w:rPr>
        <w:rFonts w:ascii="Symbol" w:hAnsi="Symbol" w:hint="default"/>
      </w:rPr>
    </w:lvl>
    <w:lvl w:ilvl="7" w:tplc="9A788C90" w:tentative="1">
      <w:start w:val="1"/>
      <w:numFmt w:val="bullet"/>
      <w:lvlText w:val="o"/>
      <w:lvlJc w:val="left"/>
      <w:pPr>
        <w:ind w:left="5400" w:hanging="360"/>
      </w:pPr>
      <w:rPr>
        <w:rFonts w:ascii="Courier New" w:hAnsi="Courier New" w:hint="default"/>
      </w:rPr>
    </w:lvl>
    <w:lvl w:ilvl="8" w:tplc="019286B4" w:tentative="1">
      <w:start w:val="1"/>
      <w:numFmt w:val="bullet"/>
      <w:lvlText w:val=""/>
      <w:lvlJc w:val="left"/>
      <w:pPr>
        <w:ind w:left="6120" w:hanging="360"/>
      </w:pPr>
      <w:rPr>
        <w:rFonts w:ascii="Wingdings" w:hAnsi="Wingdings" w:hint="default"/>
      </w:rPr>
    </w:lvl>
  </w:abstractNum>
  <w:abstractNum w:abstractNumId="43" w15:restartNumberingAfterBreak="0">
    <w:nsid w:val="7BD43CAE"/>
    <w:multiLevelType w:val="hybridMultilevel"/>
    <w:tmpl w:val="266E9DCC"/>
    <w:lvl w:ilvl="0" w:tplc="432081EE">
      <w:start w:val="1"/>
      <w:numFmt w:val="bullet"/>
      <w:pStyle w:val="Bullets"/>
      <w:lvlText w:val=""/>
      <w:lvlJc w:val="left"/>
      <w:pPr>
        <w:ind w:left="360" w:hanging="360"/>
      </w:pPr>
      <w:rPr>
        <w:rFonts w:ascii="Symbol" w:hAnsi="Symbol" w:hint="default"/>
        <w:b/>
        <w:i w:val="0"/>
        <w:color w:val="414150" w:themeColor="text1"/>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DE554C"/>
    <w:multiLevelType w:val="hybridMultilevel"/>
    <w:tmpl w:val="F7763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4087702">
    <w:abstractNumId w:val="43"/>
  </w:num>
  <w:num w:numId="2" w16cid:durableId="631180660">
    <w:abstractNumId w:val="20"/>
  </w:num>
  <w:num w:numId="3" w16cid:durableId="1732580808">
    <w:abstractNumId w:val="30"/>
  </w:num>
  <w:num w:numId="4" w16cid:durableId="1857885448">
    <w:abstractNumId w:val="39"/>
  </w:num>
  <w:num w:numId="5" w16cid:durableId="1464619426">
    <w:abstractNumId w:val="1"/>
  </w:num>
  <w:num w:numId="6" w16cid:durableId="391656379">
    <w:abstractNumId w:val="19"/>
  </w:num>
  <w:num w:numId="7" w16cid:durableId="51855983">
    <w:abstractNumId w:val="23"/>
  </w:num>
  <w:num w:numId="8" w16cid:durableId="107893897">
    <w:abstractNumId w:val="24"/>
  </w:num>
  <w:num w:numId="9" w16cid:durableId="472329751">
    <w:abstractNumId w:val="18"/>
  </w:num>
  <w:num w:numId="10" w16cid:durableId="1857650190">
    <w:abstractNumId w:val="29"/>
  </w:num>
  <w:num w:numId="11" w16cid:durableId="2063021447">
    <w:abstractNumId w:val="8"/>
  </w:num>
  <w:num w:numId="12" w16cid:durableId="1549031574">
    <w:abstractNumId w:val="14"/>
  </w:num>
  <w:num w:numId="13" w16cid:durableId="1645549716">
    <w:abstractNumId w:val="4"/>
  </w:num>
  <w:num w:numId="14" w16cid:durableId="721176627">
    <w:abstractNumId w:val="6"/>
  </w:num>
  <w:num w:numId="15" w16cid:durableId="358818804">
    <w:abstractNumId w:val="0"/>
  </w:num>
  <w:num w:numId="16" w16cid:durableId="1795904036">
    <w:abstractNumId w:val="40"/>
  </w:num>
  <w:num w:numId="17" w16cid:durableId="1196847648">
    <w:abstractNumId w:val="44"/>
  </w:num>
  <w:num w:numId="18" w16cid:durableId="231888107">
    <w:abstractNumId w:val="15"/>
  </w:num>
  <w:num w:numId="19" w16cid:durableId="1284002042">
    <w:abstractNumId w:val="22"/>
  </w:num>
  <w:num w:numId="20" w16cid:durableId="715662850">
    <w:abstractNumId w:val="34"/>
  </w:num>
  <w:num w:numId="21" w16cid:durableId="1033113319">
    <w:abstractNumId w:val="42"/>
  </w:num>
  <w:num w:numId="22" w16cid:durableId="756486023">
    <w:abstractNumId w:val="38"/>
  </w:num>
  <w:num w:numId="23" w16cid:durableId="257760054">
    <w:abstractNumId w:val="5"/>
  </w:num>
  <w:num w:numId="24" w16cid:durableId="1827355495">
    <w:abstractNumId w:val="13"/>
  </w:num>
  <w:num w:numId="25" w16cid:durableId="1248269944">
    <w:abstractNumId w:val="11"/>
  </w:num>
  <w:num w:numId="26" w16cid:durableId="1711303140">
    <w:abstractNumId w:val="9"/>
  </w:num>
  <w:num w:numId="27" w16cid:durableId="1310135379">
    <w:abstractNumId w:val="41"/>
  </w:num>
  <w:num w:numId="28" w16cid:durableId="493683832">
    <w:abstractNumId w:val="7"/>
  </w:num>
  <w:num w:numId="29" w16cid:durableId="1975482638">
    <w:abstractNumId w:val="28"/>
  </w:num>
  <w:num w:numId="30" w16cid:durableId="1062484837">
    <w:abstractNumId w:val="21"/>
  </w:num>
  <w:num w:numId="31" w16cid:durableId="1807358263">
    <w:abstractNumId w:val="2"/>
  </w:num>
  <w:num w:numId="32" w16cid:durableId="1497116243">
    <w:abstractNumId w:val="35"/>
  </w:num>
  <w:num w:numId="33" w16cid:durableId="623578112">
    <w:abstractNumId w:val="33"/>
  </w:num>
  <w:num w:numId="34" w16cid:durableId="1212184839">
    <w:abstractNumId w:val="37"/>
  </w:num>
  <w:num w:numId="35" w16cid:durableId="1672677841">
    <w:abstractNumId w:val="12"/>
  </w:num>
  <w:num w:numId="36" w16cid:durableId="920527023">
    <w:abstractNumId w:val="27"/>
  </w:num>
  <w:num w:numId="37" w16cid:durableId="1396733953">
    <w:abstractNumId w:val="36"/>
  </w:num>
  <w:num w:numId="38" w16cid:durableId="1799643712">
    <w:abstractNumId w:val="3"/>
  </w:num>
  <w:num w:numId="39" w16cid:durableId="2044941019">
    <w:abstractNumId w:val="32"/>
  </w:num>
  <w:num w:numId="40" w16cid:durableId="246115206">
    <w:abstractNumId w:val="25"/>
  </w:num>
  <w:num w:numId="41" w16cid:durableId="752969068">
    <w:abstractNumId w:val="16"/>
  </w:num>
  <w:num w:numId="42" w16cid:durableId="1446920287">
    <w:abstractNumId w:val="17"/>
  </w:num>
  <w:num w:numId="43" w16cid:durableId="871066071">
    <w:abstractNumId w:val="10"/>
  </w:num>
  <w:num w:numId="44" w16cid:durableId="470513116">
    <w:abstractNumId w:val="31"/>
  </w:num>
  <w:num w:numId="45" w16cid:durableId="157797724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BB0E10"/>
    <w:rsid w:val="00001715"/>
    <w:rsid w:val="00002E78"/>
    <w:rsid w:val="0000556C"/>
    <w:rsid w:val="000056B9"/>
    <w:rsid w:val="000056E6"/>
    <w:rsid w:val="000058F7"/>
    <w:rsid w:val="000068F7"/>
    <w:rsid w:val="00006DAB"/>
    <w:rsid w:val="00010FD6"/>
    <w:rsid w:val="00011D50"/>
    <w:rsid w:val="00012F85"/>
    <w:rsid w:val="00013AD7"/>
    <w:rsid w:val="000155E9"/>
    <w:rsid w:val="00015C83"/>
    <w:rsid w:val="00016AD2"/>
    <w:rsid w:val="00021EF0"/>
    <w:rsid w:val="0002405C"/>
    <w:rsid w:val="000243B9"/>
    <w:rsid w:val="00025328"/>
    <w:rsid w:val="0002541B"/>
    <w:rsid w:val="00025DAE"/>
    <w:rsid w:val="00026AF7"/>
    <w:rsid w:val="0002B62E"/>
    <w:rsid w:val="000319EF"/>
    <w:rsid w:val="00031A40"/>
    <w:rsid w:val="000323FD"/>
    <w:rsid w:val="00032543"/>
    <w:rsid w:val="00033A54"/>
    <w:rsid w:val="00033ABD"/>
    <w:rsid w:val="00033CF3"/>
    <w:rsid w:val="0003477A"/>
    <w:rsid w:val="000353B1"/>
    <w:rsid w:val="00035E0B"/>
    <w:rsid w:val="00035EDC"/>
    <w:rsid w:val="00036F2D"/>
    <w:rsid w:val="00036F34"/>
    <w:rsid w:val="000371C4"/>
    <w:rsid w:val="0004091A"/>
    <w:rsid w:val="00040CE0"/>
    <w:rsid w:val="000416C6"/>
    <w:rsid w:val="000421A6"/>
    <w:rsid w:val="000435F5"/>
    <w:rsid w:val="00044505"/>
    <w:rsid w:val="000449F7"/>
    <w:rsid w:val="00044ADC"/>
    <w:rsid w:val="00044D0E"/>
    <w:rsid w:val="00045F57"/>
    <w:rsid w:val="00046324"/>
    <w:rsid w:val="00046EB6"/>
    <w:rsid w:val="00047F76"/>
    <w:rsid w:val="00047FD4"/>
    <w:rsid w:val="00050378"/>
    <w:rsid w:val="00050866"/>
    <w:rsid w:val="00050BF9"/>
    <w:rsid w:val="00052EB2"/>
    <w:rsid w:val="00052F7C"/>
    <w:rsid w:val="00053D50"/>
    <w:rsid w:val="000547FF"/>
    <w:rsid w:val="00055A2F"/>
    <w:rsid w:val="00056421"/>
    <w:rsid w:val="000566F8"/>
    <w:rsid w:val="00056E21"/>
    <w:rsid w:val="000573F7"/>
    <w:rsid w:val="000578B4"/>
    <w:rsid w:val="00057A8A"/>
    <w:rsid w:val="00057C09"/>
    <w:rsid w:val="00060C7D"/>
    <w:rsid w:val="00062675"/>
    <w:rsid w:val="00062DCB"/>
    <w:rsid w:val="0006378E"/>
    <w:rsid w:val="00064176"/>
    <w:rsid w:val="00065A21"/>
    <w:rsid w:val="000665C7"/>
    <w:rsid w:val="00071B81"/>
    <w:rsid w:val="00071CE0"/>
    <w:rsid w:val="000724C1"/>
    <w:rsid w:val="0007251A"/>
    <w:rsid w:val="00072532"/>
    <w:rsid w:val="00072FCE"/>
    <w:rsid w:val="00073710"/>
    <w:rsid w:val="000740C0"/>
    <w:rsid w:val="00074707"/>
    <w:rsid w:val="00075622"/>
    <w:rsid w:val="000758D4"/>
    <w:rsid w:val="0007591A"/>
    <w:rsid w:val="00076913"/>
    <w:rsid w:val="000779C1"/>
    <w:rsid w:val="0008039E"/>
    <w:rsid w:val="00080A46"/>
    <w:rsid w:val="000810AF"/>
    <w:rsid w:val="00081411"/>
    <w:rsid w:val="00081439"/>
    <w:rsid w:val="0008162C"/>
    <w:rsid w:val="00081C90"/>
    <w:rsid w:val="000823D3"/>
    <w:rsid w:val="00083A33"/>
    <w:rsid w:val="00084A80"/>
    <w:rsid w:val="00084AB2"/>
    <w:rsid w:val="00085E1A"/>
    <w:rsid w:val="00086F9E"/>
    <w:rsid w:val="000874BB"/>
    <w:rsid w:val="000878C4"/>
    <w:rsid w:val="00087BC4"/>
    <w:rsid w:val="00090A08"/>
    <w:rsid w:val="00091544"/>
    <w:rsid w:val="00091C51"/>
    <w:rsid w:val="0009361B"/>
    <w:rsid w:val="0009393B"/>
    <w:rsid w:val="00094FF0"/>
    <w:rsid w:val="00095318"/>
    <w:rsid w:val="000958DC"/>
    <w:rsid w:val="00095A9E"/>
    <w:rsid w:val="0009644A"/>
    <w:rsid w:val="000965DA"/>
    <w:rsid w:val="000968F2"/>
    <w:rsid w:val="00097243"/>
    <w:rsid w:val="000A0105"/>
    <w:rsid w:val="000A1AF1"/>
    <w:rsid w:val="000A1C51"/>
    <w:rsid w:val="000A2133"/>
    <w:rsid w:val="000A34C8"/>
    <w:rsid w:val="000A3B2E"/>
    <w:rsid w:val="000A3EC8"/>
    <w:rsid w:val="000A486D"/>
    <w:rsid w:val="000A4F22"/>
    <w:rsid w:val="000A4F92"/>
    <w:rsid w:val="000A5329"/>
    <w:rsid w:val="000A6363"/>
    <w:rsid w:val="000A654E"/>
    <w:rsid w:val="000A69D7"/>
    <w:rsid w:val="000A7561"/>
    <w:rsid w:val="000A7DC7"/>
    <w:rsid w:val="000B034D"/>
    <w:rsid w:val="000B0B92"/>
    <w:rsid w:val="000B2281"/>
    <w:rsid w:val="000B2A14"/>
    <w:rsid w:val="000B34EC"/>
    <w:rsid w:val="000B3630"/>
    <w:rsid w:val="000B3ED2"/>
    <w:rsid w:val="000B4E8D"/>
    <w:rsid w:val="000B5F7B"/>
    <w:rsid w:val="000B6990"/>
    <w:rsid w:val="000BDD2F"/>
    <w:rsid w:val="000C0278"/>
    <w:rsid w:val="000C0E17"/>
    <w:rsid w:val="000C2CBB"/>
    <w:rsid w:val="000C3885"/>
    <w:rsid w:val="000C4535"/>
    <w:rsid w:val="000C5446"/>
    <w:rsid w:val="000C563E"/>
    <w:rsid w:val="000C56B6"/>
    <w:rsid w:val="000C7897"/>
    <w:rsid w:val="000C7AC2"/>
    <w:rsid w:val="000D055A"/>
    <w:rsid w:val="000D0C6A"/>
    <w:rsid w:val="000D0F03"/>
    <w:rsid w:val="000D0F81"/>
    <w:rsid w:val="000D1693"/>
    <w:rsid w:val="000D4267"/>
    <w:rsid w:val="000D4F75"/>
    <w:rsid w:val="000D5902"/>
    <w:rsid w:val="000D5F41"/>
    <w:rsid w:val="000D6DC5"/>
    <w:rsid w:val="000D6E60"/>
    <w:rsid w:val="000E0093"/>
    <w:rsid w:val="000E068D"/>
    <w:rsid w:val="000E198C"/>
    <w:rsid w:val="000E1BCD"/>
    <w:rsid w:val="000E1E4D"/>
    <w:rsid w:val="000E37D8"/>
    <w:rsid w:val="000E445A"/>
    <w:rsid w:val="000E4C72"/>
    <w:rsid w:val="000E59BC"/>
    <w:rsid w:val="000EE970"/>
    <w:rsid w:val="000F1BA0"/>
    <w:rsid w:val="000F2036"/>
    <w:rsid w:val="000F4DE5"/>
    <w:rsid w:val="000F6D61"/>
    <w:rsid w:val="0010027B"/>
    <w:rsid w:val="0010029E"/>
    <w:rsid w:val="00100DB3"/>
    <w:rsid w:val="00100EA1"/>
    <w:rsid w:val="00100F1F"/>
    <w:rsid w:val="00101153"/>
    <w:rsid w:val="00103C90"/>
    <w:rsid w:val="00104A13"/>
    <w:rsid w:val="00104EFA"/>
    <w:rsid w:val="0010539A"/>
    <w:rsid w:val="001056AF"/>
    <w:rsid w:val="00106404"/>
    <w:rsid w:val="00107A07"/>
    <w:rsid w:val="0011033C"/>
    <w:rsid w:val="00111CBD"/>
    <w:rsid w:val="001144F5"/>
    <w:rsid w:val="00116D14"/>
    <w:rsid w:val="00117752"/>
    <w:rsid w:val="0012162B"/>
    <w:rsid w:val="00125B6B"/>
    <w:rsid w:val="0012626D"/>
    <w:rsid w:val="001264C6"/>
    <w:rsid w:val="001264E0"/>
    <w:rsid w:val="001276FA"/>
    <w:rsid w:val="00129781"/>
    <w:rsid w:val="001306F5"/>
    <w:rsid w:val="00130DDC"/>
    <w:rsid w:val="0013151B"/>
    <w:rsid w:val="00131742"/>
    <w:rsid w:val="00132D66"/>
    <w:rsid w:val="0013602B"/>
    <w:rsid w:val="00137677"/>
    <w:rsid w:val="0014057A"/>
    <w:rsid w:val="00141652"/>
    <w:rsid w:val="00141663"/>
    <w:rsid w:val="0014185A"/>
    <w:rsid w:val="001419AE"/>
    <w:rsid w:val="00141CD2"/>
    <w:rsid w:val="00142C0A"/>
    <w:rsid w:val="00143880"/>
    <w:rsid w:val="00143A7D"/>
    <w:rsid w:val="001443B2"/>
    <w:rsid w:val="001454B5"/>
    <w:rsid w:val="0014592B"/>
    <w:rsid w:val="00146026"/>
    <w:rsid w:val="00147037"/>
    <w:rsid w:val="00147A98"/>
    <w:rsid w:val="001501DA"/>
    <w:rsid w:val="0015073F"/>
    <w:rsid w:val="00150CDC"/>
    <w:rsid w:val="001510D2"/>
    <w:rsid w:val="00151D17"/>
    <w:rsid w:val="00154295"/>
    <w:rsid w:val="00155397"/>
    <w:rsid w:val="001568B6"/>
    <w:rsid w:val="00157155"/>
    <w:rsid w:val="001575F3"/>
    <w:rsid w:val="0015FFA7"/>
    <w:rsid w:val="001613CE"/>
    <w:rsid w:val="00161601"/>
    <w:rsid w:val="001625B4"/>
    <w:rsid w:val="00162624"/>
    <w:rsid w:val="001629B4"/>
    <w:rsid w:val="00162A0D"/>
    <w:rsid w:val="001634B2"/>
    <w:rsid w:val="001635BE"/>
    <w:rsid w:val="0016388B"/>
    <w:rsid w:val="00163FF6"/>
    <w:rsid w:val="0016405F"/>
    <w:rsid w:val="00165021"/>
    <w:rsid w:val="00165DBC"/>
    <w:rsid w:val="0016795C"/>
    <w:rsid w:val="0017095A"/>
    <w:rsid w:val="00170B12"/>
    <w:rsid w:val="001714C7"/>
    <w:rsid w:val="001724B2"/>
    <w:rsid w:val="001728B3"/>
    <w:rsid w:val="00173554"/>
    <w:rsid w:val="00173F1A"/>
    <w:rsid w:val="001744DC"/>
    <w:rsid w:val="00174EDC"/>
    <w:rsid w:val="00175D96"/>
    <w:rsid w:val="00176135"/>
    <w:rsid w:val="001762E6"/>
    <w:rsid w:val="00176F85"/>
    <w:rsid w:val="00177AFE"/>
    <w:rsid w:val="00180A11"/>
    <w:rsid w:val="00180A21"/>
    <w:rsid w:val="0018158C"/>
    <w:rsid w:val="00181A2D"/>
    <w:rsid w:val="00181E49"/>
    <w:rsid w:val="00182ADA"/>
    <w:rsid w:val="00183075"/>
    <w:rsid w:val="0018426B"/>
    <w:rsid w:val="00185B6E"/>
    <w:rsid w:val="00185DE4"/>
    <w:rsid w:val="00185E29"/>
    <w:rsid w:val="00186976"/>
    <w:rsid w:val="001873ED"/>
    <w:rsid w:val="001876E9"/>
    <w:rsid w:val="001904E9"/>
    <w:rsid w:val="001909F3"/>
    <w:rsid w:val="00190A56"/>
    <w:rsid w:val="00190D02"/>
    <w:rsid w:val="0019112E"/>
    <w:rsid w:val="001917A8"/>
    <w:rsid w:val="00191F23"/>
    <w:rsid w:val="001921AF"/>
    <w:rsid w:val="001923C8"/>
    <w:rsid w:val="001929DB"/>
    <w:rsid w:val="00192E87"/>
    <w:rsid w:val="00193CE0"/>
    <w:rsid w:val="00195E14"/>
    <w:rsid w:val="00197488"/>
    <w:rsid w:val="0019798A"/>
    <w:rsid w:val="001A014E"/>
    <w:rsid w:val="001A091B"/>
    <w:rsid w:val="001A0D9F"/>
    <w:rsid w:val="001A1EF5"/>
    <w:rsid w:val="001A200B"/>
    <w:rsid w:val="001A36A4"/>
    <w:rsid w:val="001A53B3"/>
    <w:rsid w:val="001A55CF"/>
    <w:rsid w:val="001A6402"/>
    <w:rsid w:val="001A697E"/>
    <w:rsid w:val="001A730E"/>
    <w:rsid w:val="001B28EA"/>
    <w:rsid w:val="001B4154"/>
    <w:rsid w:val="001B44D0"/>
    <w:rsid w:val="001B4B4C"/>
    <w:rsid w:val="001B4BD2"/>
    <w:rsid w:val="001B50A3"/>
    <w:rsid w:val="001B50AD"/>
    <w:rsid w:val="001B6E30"/>
    <w:rsid w:val="001B7D65"/>
    <w:rsid w:val="001C038B"/>
    <w:rsid w:val="001C0EE7"/>
    <w:rsid w:val="001C1BE0"/>
    <w:rsid w:val="001C4617"/>
    <w:rsid w:val="001C558A"/>
    <w:rsid w:val="001C7994"/>
    <w:rsid w:val="001CE094"/>
    <w:rsid w:val="001D1BBD"/>
    <w:rsid w:val="001D4256"/>
    <w:rsid w:val="001D4E3F"/>
    <w:rsid w:val="001D5166"/>
    <w:rsid w:val="001D5CB8"/>
    <w:rsid w:val="001D68C1"/>
    <w:rsid w:val="001D79CF"/>
    <w:rsid w:val="001E0CE4"/>
    <w:rsid w:val="001E15CC"/>
    <w:rsid w:val="001E1654"/>
    <w:rsid w:val="001E19B3"/>
    <w:rsid w:val="001E1E48"/>
    <w:rsid w:val="001E20E9"/>
    <w:rsid w:val="001E2553"/>
    <w:rsid w:val="001E29B6"/>
    <w:rsid w:val="001E319B"/>
    <w:rsid w:val="001E3828"/>
    <w:rsid w:val="001E5636"/>
    <w:rsid w:val="001E5D10"/>
    <w:rsid w:val="001E5D64"/>
    <w:rsid w:val="001E6223"/>
    <w:rsid w:val="001E63AA"/>
    <w:rsid w:val="001E69F9"/>
    <w:rsid w:val="001E6ADE"/>
    <w:rsid w:val="001E714A"/>
    <w:rsid w:val="001E7A39"/>
    <w:rsid w:val="001E7C92"/>
    <w:rsid w:val="001E7E36"/>
    <w:rsid w:val="001F00BD"/>
    <w:rsid w:val="001F13CE"/>
    <w:rsid w:val="001F1C92"/>
    <w:rsid w:val="001F1D1C"/>
    <w:rsid w:val="001F2919"/>
    <w:rsid w:val="001F2B5A"/>
    <w:rsid w:val="001F2D36"/>
    <w:rsid w:val="001F52D5"/>
    <w:rsid w:val="001F614D"/>
    <w:rsid w:val="001F71EE"/>
    <w:rsid w:val="001F7F48"/>
    <w:rsid w:val="002000B1"/>
    <w:rsid w:val="0020012C"/>
    <w:rsid w:val="002019AD"/>
    <w:rsid w:val="00202693"/>
    <w:rsid w:val="00202D8E"/>
    <w:rsid w:val="00203C1E"/>
    <w:rsid w:val="002061CD"/>
    <w:rsid w:val="002066D9"/>
    <w:rsid w:val="00206848"/>
    <w:rsid w:val="0021059E"/>
    <w:rsid w:val="0021111D"/>
    <w:rsid w:val="00212C40"/>
    <w:rsid w:val="00213173"/>
    <w:rsid w:val="002133BB"/>
    <w:rsid w:val="00214274"/>
    <w:rsid w:val="002167BA"/>
    <w:rsid w:val="00217EFE"/>
    <w:rsid w:val="002206AD"/>
    <w:rsid w:val="00220B45"/>
    <w:rsid w:val="0022296D"/>
    <w:rsid w:val="002238C0"/>
    <w:rsid w:val="0022474D"/>
    <w:rsid w:val="00224CB8"/>
    <w:rsid w:val="0022562D"/>
    <w:rsid w:val="00226EDC"/>
    <w:rsid w:val="00230136"/>
    <w:rsid w:val="00230F01"/>
    <w:rsid w:val="00231F81"/>
    <w:rsid w:val="00233355"/>
    <w:rsid w:val="00233D17"/>
    <w:rsid w:val="00233ED1"/>
    <w:rsid w:val="0023467F"/>
    <w:rsid w:val="00234A39"/>
    <w:rsid w:val="00236535"/>
    <w:rsid w:val="00237AC2"/>
    <w:rsid w:val="00240060"/>
    <w:rsid w:val="0024093F"/>
    <w:rsid w:val="00240AD7"/>
    <w:rsid w:val="00240EBC"/>
    <w:rsid w:val="00241C1C"/>
    <w:rsid w:val="00242A36"/>
    <w:rsid w:val="002436BA"/>
    <w:rsid w:val="00243BB2"/>
    <w:rsid w:val="00244FA2"/>
    <w:rsid w:val="00245216"/>
    <w:rsid w:val="00245C5F"/>
    <w:rsid w:val="0024663E"/>
    <w:rsid w:val="002470BE"/>
    <w:rsid w:val="0024CCC3"/>
    <w:rsid w:val="00251AD5"/>
    <w:rsid w:val="00251C6F"/>
    <w:rsid w:val="00251F5C"/>
    <w:rsid w:val="002520AB"/>
    <w:rsid w:val="00252770"/>
    <w:rsid w:val="00252E4D"/>
    <w:rsid w:val="00252E9B"/>
    <w:rsid w:val="00254027"/>
    <w:rsid w:val="002542EA"/>
    <w:rsid w:val="0025435C"/>
    <w:rsid w:val="00254710"/>
    <w:rsid w:val="002549FC"/>
    <w:rsid w:val="00254BE5"/>
    <w:rsid w:val="00254FBC"/>
    <w:rsid w:val="00255975"/>
    <w:rsid w:val="002565FB"/>
    <w:rsid w:val="0025673F"/>
    <w:rsid w:val="002575A5"/>
    <w:rsid w:val="0025950A"/>
    <w:rsid w:val="0026019F"/>
    <w:rsid w:val="00260370"/>
    <w:rsid w:val="00260A48"/>
    <w:rsid w:val="00260DB1"/>
    <w:rsid w:val="00263345"/>
    <w:rsid w:val="00265BA8"/>
    <w:rsid w:val="00265C6B"/>
    <w:rsid w:val="00265FE8"/>
    <w:rsid w:val="00266401"/>
    <w:rsid w:val="00266EDA"/>
    <w:rsid w:val="002725E2"/>
    <w:rsid w:val="002743C0"/>
    <w:rsid w:val="00274DA2"/>
    <w:rsid w:val="00275CD2"/>
    <w:rsid w:val="00276399"/>
    <w:rsid w:val="00277207"/>
    <w:rsid w:val="002775BC"/>
    <w:rsid w:val="00277813"/>
    <w:rsid w:val="00280384"/>
    <w:rsid w:val="0028095B"/>
    <w:rsid w:val="00280D08"/>
    <w:rsid w:val="00281B61"/>
    <w:rsid w:val="00281EF9"/>
    <w:rsid w:val="0028499C"/>
    <w:rsid w:val="00284F9C"/>
    <w:rsid w:val="00285053"/>
    <w:rsid w:val="00285318"/>
    <w:rsid w:val="002854D3"/>
    <w:rsid w:val="00285524"/>
    <w:rsid w:val="0028684A"/>
    <w:rsid w:val="00286E30"/>
    <w:rsid w:val="00287E50"/>
    <w:rsid w:val="00290D3B"/>
    <w:rsid w:val="002912C2"/>
    <w:rsid w:val="002917F9"/>
    <w:rsid w:val="002928D9"/>
    <w:rsid w:val="00292B06"/>
    <w:rsid w:val="00292E34"/>
    <w:rsid w:val="00294AB2"/>
    <w:rsid w:val="00295C73"/>
    <w:rsid w:val="00296BB3"/>
    <w:rsid w:val="00296BDE"/>
    <w:rsid w:val="002A1917"/>
    <w:rsid w:val="002A211E"/>
    <w:rsid w:val="002A2449"/>
    <w:rsid w:val="002A2472"/>
    <w:rsid w:val="002A31E1"/>
    <w:rsid w:val="002A33B3"/>
    <w:rsid w:val="002A365F"/>
    <w:rsid w:val="002A3C06"/>
    <w:rsid w:val="002A519F"/>
    <w:rsid w:val="002A5595"/>
    <w:rsid w:val="002A5D92"/>
    <w:rsid w:val="002A5DD7"/>
    <w:rsid w:val="002A5E77"/>
    <w:rsid w:val="002A6B1A"/>
    <w:rsid w:val="002A748B"/>
    <w:rsid w:val="002B22D7"/>
    <w:rsid w:val="002B291D"/>
    <w:rsid w:val="002B2D25"/>
    <w:rsid w:val="002B3135"/>
    <w:rsid w:val="002B3552"/>
    <w:rsid w:val="002B38C8"/>
    <w:rsid w:val="002B3B11"/>
    <w:rsid w:val="002B3B85"/>
    <w:rsid w:val="002B3E21"/>
    <w:rsid w:val="002B4DBC"/>
    <w:rsid w:val="002B559E"/>
    <w:rsid w:val="002B64AA"/>
    <w:rsid w:val="002B7CE9"/>
    <w:rsid w:val="002C0BFD"/>
    <w:rsid w:val="002C1247"/>
    <w:rsid w:val="002C1752"/>
    <w:rsid w:val="002C2123"/>
    <w:rsid w:val="002C21FC"/>
    <w:rsid w:val="002C29C7"/>
    <w:rsid w:val="002C2BFD"/>
    <w:rsid w:val="002C4133"/>
    <w:rsid w:val="002C4CF3"/>
    <w:rsid w:val="002C5333"/>
    <w:rsid w:val="002C661B"/>
    <w:rsid w:val="002C6D99"/>
    <w:rsid w:val="002D0135"/>
    <w:rsid w:val="002D142F"/>
    <w:rsid w:val="002D1954"/>
    <w:rsid w:val="002D1AE2"/>
    <w:rsid w:val="002D36C1"/>
    <w:rsid w:val="002D3F43"/>
    <w:rsid w:val="002D4420"/>
    <w:rsid w:val="002D4597"/>
    <w:rsid w:val="002D515D"/>
    <w:rsid w:val="002E16AE"/>
    <w:rsid w:val="002E1C9C"/>
    <w:rsid w:val="002E3339"/>
    <w:rsid w:val="002E4286"/>
    <w:rsid w:val="002E4D56"/>
    <w:rsid w:val="002E6179"/>
    <w:rsid w:val="002E72EB"/>
    <w:rsid w:val="002E75E7"/>
    <w:rsid w:val="002E7C20"/>
    <w:rsid w:val="002F0650"/>
    <w:rsid w:val="002F1503"/>
    <w:rsid w:val="002F1F12"/>
    <w:rsid w:val="002F21C6"/>
    <w:rsid w:val="002F27F6"/>
    <w:rsid w:val="002F2B00"/>
    <w:rsid w:val="002F2EF9"/>
    <w:rsid w:val="002F3E5B"/>
    <w:rsid w:val="002F65FE"/>
    <w:rsid w:val="002F67D3"/>
    <w:rsid w:val="002F7424"/>
    <w:rsid w:val="002F74C5"/>
    <w:rsid w:val="002F7A04"/>
    <w:rsid w:val="00300C5D"/>
    <w:rsid w:val="00300ED6"/>
    <w:rsid w:val="003012C6"/>
    <w:rsid w:val="00301835"/>
    <w:rsid w:val="00301E3A"/>
    <w:rsid w:val="00303E2E"/>
    <w:rsid w:val="003040E2"/>
    <w:rsid w:val="003043B6"/>
    <w:rsid w:val="00305435"/>
    <w:rsid w:val="003067CA"/>
    <w:rsid w:val="00311399"/>
    <w:rsid w:val="003127A1"/>
    <w:rsid w:val="0031315D"/>
    <w:rsid w:val="00315BF3"/>
    <w:rsid w:val="003161B6"/>
    <w:rsid w:val="00316D78"/>
    <w:rsid w:val="003178DB"/>
    <w:rsid w:val="003203EF"/>
    <w:rsid w:val="003208A8"/>
    <w:rsid w:val="00321542"/>
    <w:rsid w:val="00321751"/>
    <w:rsid w:val="00322FF1"/>
    <w:rsid w:val="003232B0"/>
    <w:rsid w:val="00323445"/>
    <w:rsid w:val="003235E9"/>
    <w:rsid w:val="003236DA"/>
    <w:rsid w:val="0032438C"/>
    <w:rsid w:val="00324961"/>
    <w:rsid w:val="003257F5"/>
    <w:rsid w:val="00325DFE"/>
    <w:rsid w:val="00327386"/>
    <w:rsid w:val="003301E6"/>
    <w:rsid w:val="00331FCE"/>
    <w:rsid w:val="00332898"/>
    <w:rsid w:val="00332A6E"/>
    <w:rsid w:val="00332AF7"/>
    <w:rsid w:val="003332C7"/>
    <w:rsid w:val="0033352D"/>
    <w:rsid w:val="00334834"/>
    <w:rsid w:val="00334B5C"/>
    <w:rsid w:val="003359AA"/>
    <w:rsid w:val="0033682A"/>
    <w:rsid w:val="003371A7"/>
    <w:rsid w:val="003400B8"/>
    <w:rsid w:val="00340341"/>
    <w:rsid w:val="00340F15"/>
    <w:rsid w:val="00340FF2"/>
    <w:rsid w:val="0034178C"/>
    <w:rsid w:val="003421FF"/>
    <w:rsid w:val="0034245B"/>
    <w:rsid w:val="00342984"/>
    <w:rsid w:val="00342D09"/>
    <w:rsid w:val="003435B3"/>
    <w:rsid w:val="00344D99"/>
    <w:rsid w:val="003453BB"/>
    <w:rsid w:val="00345EA4"/>
    <w:rsid w:val="003467A5"/>
    <w:rsid w:val="00346B68"/>
    <w:rsid w:val="00347215"/>
    <w:rsid w:val="003477F4"/>
    <w:rsid w:val="003503C0"/>
    <w:rsid w:val="00351198"/>
    <w:rsid w:val="003519D1"/>
    <w:rsid w:val="00351A3A"/>
    <w:rsid w:val="00352B78"/>
    <w:rsid w:val="00353D9C"/>
    <w:rsid w:val="00353F80"/>
    <w:rsid w:val="00354A99"/>
    <w:rsid w:val="00354FB1"/>
    <w:rsid w:val="00356A48"/>
    <w:rsid w:val="00357580"/>
    <w:rsid w:val="003603ED"/>
    <w:rsid w:val="00360DF9"/>
    <w:rsid w:val="00361052"/>
    <w:rsid w:val="00361556"/>
    <w:rsid w:val="00362250"/>
    <w:rsid w:val="00362350"/>
    <w:rsid w:val="0036241E"/>
    <w:rsid w:val="00362BCC"/>
    <w:rsid w:val="00362D9E"/>
    <w:rsid w:val="003636A2"/>
    <w:rsid w:val="00364158"/>
    <w:rsid w:val="003650FC"/>
    <w:rsid w:val="0036576D"/>
    <w:rsid w:val="00365BB1"/>
    <w:rsid w:val="00366406"/>
    <w:rsid w:val="003678E5"/>
    <w:rsid w:val="003708A5"/>
    <w:rsid w:val="00370C3D"/>
    <w:rsid w:val="00370D6C"/>
    <w:rsid w:val="00371691"/>
    <w:rsid w:val="00373419"/>
    <w:rsid w:val="003738A8"/>
    <w:rsid w:val="003755D1"/>
    <w:rsid w:val="00375B1E"/>
    <w:rsid w:val="00375E78"/>
    <w:rsid w:val="00375FDB"/>
    <w:rsid w:val="00376448"/>
    <w:rsid w:val="0037685D"/>
    <w:rsid w:val="003801C6"/>
    <w:rsid w:val="003804EC"/>
    <w:rsid w:val="00380552"/>
    <w:rsid w:val="00380781"/>
    <w:rsid w:val="003807BB"/>
    <w:rsid w:val="00384F0D"/>
    <w:rsid w:val="00385142"/>
    <w:rsid w:val="00385BA3"/>
    <w:rsid w:val="00387524"/>
    <w:rsid w:val="003908BA"/>
    <w:rsid w:val="00391C59"/>
    <w:rsid w:val="0039343F"/>
    <w:rsid w:val="00395A14"/>
    <w:rsid w:val="003A13BC"/>
    <w:rsid w:val="003A1B5C"/>
    <w:rsid w:val="003A258A"/>
    <w:rsid w:val="003A4E65"/>
    <w:rsid w:val="003A4EE9"/>
    <w:rsid w:val="003A6C98"/>
    <w:rsid w:val="003A70B6"/>
    <w:rsid w:val="003A78B9"/>
    <w:rsid w:val="003B15B8"/>
    <w:rsid w:val="003B1862"/>
    <w:rsid w:val="003B2433"/>
    <w:rsid w:val="003B2E14"/>
    <w:rsid w:val="003B2F46"/>
    <w:rsid w:val="003B3393"/>
    <w:rsid w:val="003B4122"/>
    <w:rsid w:val="003B443B"/>
    <w:rsid w:val="003B4A5D"/>
    <w:rsid w:val="003B5234"/>
    <w:rsid w:val="003B6BAF"/>
    <w:rsid w:val="003B78F9"/>
    <w:rsid w:val="003C00D0"/>
    <w:rsid w:val="003C3016"/>
    <w:rsid w:val="003C308F"/>
    <w:rsid w:val="003C3D9C"/>
    <w:rsid w:val="003C44F4"/>
    <w:rsid w:val="003C4BEB"/>
    <w:rsid w:val="003C508B"/>
    <w:rsid w:val="003C5EF5"/>
    <w:rsid w:val="003C5FC9"/>
    <w:rsid w:val="003C6543"/>
    <w:rsid w:val="003C6C31"/>
    <w:rsid w:val="003D0C51"/>
    <w:rsid w:val="003D1456"/>
    <w:rsid w:val="003D1B82"/>
    <w:rsid w:val="003D1CEB"/>
    <w:rsid w:val="003D2A47"/>
    <w:rsid w:val="003D2FCD"/>
    <w:rsid w:val="003D5B60"/>
    <w:rsid w:val="003D6DF6"/>
    <w:rsid w:val="003D79E6"/>
    <w:rsid w:val="003E0272"/>
    <w:rsid w:val="003E1B45"/>
    <w:rsid w:val="003E1C2E"/>
    <w:rsid w:val="003E2239"/>
    <w:rsid w:val="003E2F70"/>
    <w:rsid w:val="003E4651"/>
    <w:rsid w:val="003E4D8B"/>
    <w:rsid w:val="003E6576"/>
    <w:rsid w:val="003E6DD0"/>
    <w:rsid w:val="003E767C"/>
    <w:rsid w:val="003F005D"/>
    <w:rsid w:val="003F043D"/>
    <w:rsid w:val="003F0F61"/>
    <w:rsid w:val="003F10F4"/>
    <w:rsid w:val="003F1701"/>
    <w:rsid w:val="003F26B9"/>
    <w:rsid w:val="003F32A4"/>
    <w:rsid w:val="003F407D"/>
    <w:rsid w:val="003F41A1"/>
    <w:rsid w:val="003F597B"/>
    <w:rsid w:val="003F5CDC"/>
    <w:rsid w:val="003F5EBC"/>
    <w:rsid w:val="003F73FF"/>
    <w:rsid w:val="003F767F"/>
    <w:rsid w:val="003F76BF"/>
    <w:rsid w:val="00400279"/>
    <w:rsid w:val="00400316"/>
    <w:rsid w:val="004004DC"/>
    <w:rsid w:val="00400B1C"/>
    <w:rsid w:val="00403087"/>
    <w:rsid w:val="004060EF"/>
    <w:rsid w:val="00406FE3"/>
    <w:rsid w:val="00407FA5"/>
    <w:rsid w:val="00410D50"/>
    <w:rsid w:val="00411565"/>
    <w:rsid w:val="00411ECA"/>
    <w:rsid w:val="00411F34"/>
    <w:rsid w:val="00412E52"/>
    <w:rsid w:val="004132D6"/>
    <w:rsid w:val="004140D0"/>
    <w:rsid w:val="004142A6"/>
    <w:rsid w:val="004147E1"/>
    <w:rsid w:val="00414E6B"/>
    <w:rsid w:val="00415792"/>
    <w:rsid w:val="004158E6"/>
    <w:rsid w:val="00415BBD"/>
    <w:rsid w:val="00416005"/>
    <w:rsid w:val="00417D8E"/>
    <w:rsid w:val="00417E43"/>
    <w:rsid w:val="00420E6C"/>
    <w:rsid w:val="004240FD"/>
    <w:rsid w:val="00424693"/>
    <w:rsid w:val="00426B49"/>
    <w:rsid w:val="00427621"/>
    <w:rsid w:val="004278B0"/>
    <w:rsid w:val="00430198"/>
    <w:rsid w:val="00430DA7"/>
    <w:rsid w:val="00431EA5"/>
    <w:rsid w:val="00432957"/>
    <w:rsid w:val="00434CF2"/>
    <w:rsid w:val="00436EDE"/>
    <w:rsid w:val="00437D6D"/>
    <w:rsid w:val="00437DC0"/>
    <w:rsid w:val="00440BAE"/>
    <w:rsid w:val="00443C4B"/>
    <w:rsid w:val="004441DB"/>
    <w:rsid w:val="0044465B"/>
    <w:rsid w:val="00444831"/>
    <w:rsid w:val="00444AAF"/>
    <w:rsid w:val="00444E87"/>
    <w:rsid w:val="00444E8C"/>
    <w:rsid w:val="004455A5"/>
    <w:rsid w:val="00445993"/>
    <w:rsid w:val="00446134"/>
    <w:rsid w:val="00446D12"/>
    <w:rsid w:val="00447713"/>
    <w:rsid w:val="00447DD7"/>
    <w:rsid w:val="004504C7"/>
    <w:rsid w:val="004505A8"/>
    <w:rsid w:val="0045092E"/>
    <w:rsid w:val="00450FB4"/>
    <w:rsid w:val="0045187D"/>
    <w:rsid w:val="00451CE6"/>
    <w:rsid w:val="00452B28"/>
    <w:rsid w:val="00452DCA"/>
    <w:rsid w:val="00453620"/>
    <w:rsid w:val="00453C43"/>
    <w:rsid w:val="00453DEB"/>
    <w:rsid w:val="0045511E"/>
    <w:rsid w:val="0045553F"/>
    <w:rsid w:val="004556F1"/>
    <w:rsid w:val="004558F1"/>
    <w:rsid w:val="004561C5"/>
    <w:rsid w:val="0045676A"/>
    <w:rsid w:val="00456E34"/>
    <w:rsid w:val="0045788A"/>
    <w:rsid w:val="00461D7F"/>
    <w:rsid w:val="00462B21"/>
    <w:rsid w:val="00464093"/>
    <w:rsid w:val="00465657"/>
    <w:rsid w:val="00465E79"/>
    <w:rsid w:val="00466F35"/>
    <w:rsid w:val="00467ADA"/>
    <w:rsid w:val="00467DE7"/>
    <w:rsid w:val="00471222"/>
    <w:rsid w:val="00471831"/>
    <w:rsid w:val="00472D7D"/>
    <w:rsid w:val="00472F34"/>
    <w:rsid w:val="00472F3F"/>
    <w:rsid w:val="004734E2"/>
    <w:rsid w:val="00473FEF"/>
    <w:rsid w:val="0047477C"/>
    <w:rsid w:val="004747F7"/>
    <w:rsid w:val="00475134"/>
    <w:rsid w:val="00475420"/>
    <w:rsid w:val="00475B26"/>
    <w:rsid w:val="004761CA"/>
    <w:rsid w:val="00476265"/>
    <w:rsid w:val="0047725A"/>
    <w:rsid w:val="00480172"/>
    <w:rsid w:val="00481A22"/>
    <w:rsid w:val="00483165"/>
    <w:rsid w:val="004836DB"/>
    <w:rsid w:val="004846F2"/>
    <w:rsid w:val="00486134"/>
    <w:rsid w:val="004879CD"/>
    <w:rsid w:val="00488FAC"/>
    <w:rsid w:val="00490BD5"/>
    <w:rsid w:val="004912FA"/>
    <w:rsid w:val="00492AA2"/>
    <w:rsid w:val="00493613"/>
    <w:rsid w:val="00494A93"/>
    <w:rsid w:val="00494D52"/>
    <w:rsid w:val="00495F44"/>
    <w:rsid w:val="0049702E"/>
    <w:rsid w:val="0049763D"/>
    <w:rsid w:val="0049774D"/>
    <w:rsid w:val="00497F1C"/>
    <w:rsid w:val="004A0CAA"/>
    <w:rsid w:val="004A12A3"/>
    <w:rsid w:val="004A1403"/>
    <w:rsid w:val="004A1D62"/>
    <w:rsid w:val="004A21A4"/>
    <w:rsid w:val="004A260B"/>
    <w:rsid w:val="004A3DC1"/>
    <w:rsid w:val="004A44C7"/>
    <w:rsid w:val="004A48A9"/>
    <w:rsid w:val="004A5A71"/>
    <w:rsid w:val="004A6379"/>
    <w:rsid w:val="004A7110"/>
    <w:rsid w:val="004A7B75"/>
    <w:rsid w:val="004B04EE"/>
    <w:rsid w:val="004B0D3F"/>
    <w:rsid w:val="004B2C0E"/>
    <w:rsid w:val="004B4A5A"/>
    <w:rsid w:val="004B4D96"/>
    <w:rsid w:val="004B5BCE"/>
    <w:rsid w:val="004B659E"/>
    <w:rsid w:val="004B67FC"/>
    <w:rsid w:val="004B6B8F"/>
    <w:rsid w:val="004B6C97"/>
    <w:rsid w:val="004B7811"/>
    <w:rsid w:val="004B7866"/>
    <w:rsid w:val="004C00B2"/>
    <w:rsid w:val="004C05F3"/>
    <w:rsid w:val="004C1084"/>
    <w:rsid w:val="004C1D71"/>
    <w:rsid w:val="004C1E30"/>
    <w:rsid w:val="004C1FCE"/>
    <w:rsid w:val="004C2876"/>
    <w:rsid w:val="004C289D"/>
    <w:rsid w:val="004C2F47"/>
    <w:rsid w:val="004C3201"/>
    <w:rsid w:val="004C4168"/>
    <w:rsid w:val="004C4DBA"/>
    <w:rsid w:val="004C4FA2"/>
    <w:rsid w:val="004C69F9"/>
    <w:rsid w:val="004D272F"/>
    <w:rsid w:val="004D2EED"/>
    <w:rsid w:val="004D406C"/>
    <w:rsid w:val="004D418F"/>
    <w:rsid w:val="004D4DEA"/>
    <w:rsid w:val="004D5A80"/>
    <w:rsid w:val="004D5E2F"/>
    <w:rsid w:val="004D60B0"/>
    <w:rsid w:val="004E0907"/>
    <w:rsid w:val="004E0A2B"/>
    <w:rsid w:val="004E0DFF"/>
    <w:rsid w:val="004E22F9"/>
    <w:rsid w:val="004E2A4D"/>
    <w:rsid w:val="004E2FDD"/>
    <w:rsid w:val="004E309F"/>
    <w:rsid w:val="004E4641"/>
    <w:rsid w:val="004E4F7B"/>
    <w:rsid w:val="004E5107"/>
    <w:rsid w:val="004E7388"/>
    <w:rsid w:val="004E7FFD"/>
    <w:rsid w:val="004F0410"/>
    <w:rsid w:val="004F1206"/>
    <w:rsid w:val="004F1763"/>
    <w:rsid w:val="004F2147"/>
    <w:rsid w:val="004F34C3"/>
    <w:rsid w:val="004F3847"/>
    <w:rsid w:val="004F4ADF"/>
    <w:rsid w:val="004F4FB1"/>
    <w:rsid w:val="004F535B"/>
    <w:rsid w:val="004F5CE9"/>
    <w:rsid w:val="004F6190"/>
    <w:rsid w:val="004F64FE"/>
    <w:rsid w:val="004F6699"/>
    <w:rsid w:val="004F68EE"/>
    <w:rsid w:val="004F7313"/>
    <w:rsid w:val="004F7B7E"/>
    <w:rsid w:val="004F7DBA"/>
    <w:rsid w:val="004F7EAD"/>
    <w:rsid w:val="004F7F82"/>
    <w:rsid w:val="00500729"/>
    <w:rsid w:val="005009A3"/>
    <w:rsid w:val="00500DED"/>
    <w:rsid w:val="00502D2B"/>
    <w:rsid w:val="005041D5"/>
    <w:rsid w:val="00504A10"/>
    <w:rsid w:val="00504C49"/>
    <w:rsid w:val="005052F9"/>
    <w:rsid w:val="00506007"/>
    <w:rsid w:val="0050610B"/>
    <w:rsid w:val="005061D7"/>
    <w:rsid w:val="00506C42"/>
    <w:rsid w:val="00507F91"/>
    <w:rsid w:val="0050CBB7"/>
    <w:rsid w:val="00510509"/>
    <w:rsid w:val="0051175C"/>
    <w:rsid w:val="00511ED2"/>
    <w:rsid w:val="00512BF2"/>
    <w:rsid w:val="00513179"/>
    <w:rsid w:val="00513761"/>
    <w:rsid w:val="00513E8B"/>
    <w:rsid w:val="00514345"/>
    <w:rsid w:val="00514A38"/>
    <w:rsid w:val="00514CE4"/>
    <w:rsid w:val="005152DB"/>
    <w:rsid w:val="0051542A"/>
    <w:rsid w:val="005156FB"/>
    <w:rsid w:val="00515853"/>
    <w:rsid w:val="00517866"/>
    <w:rsid w:val="005207A0"/>
    <w:rsid w:val="00520877"/>
    <w:rsid w:val="005209B3"/>
    <w:rsid w:val="0052148E"/>
    <w:rsid w:val="00522FB6"/>
    <w:rsid w:val="005230B1"/>
    <w:rsid w:val="005245C1"/>
    <w:rsid w:val="00525EB5"/>
    <w:rsid w:val="0052617D"/>
    <w:rsid w:val="00526D02"/>
    <w:rsid w:val="00526EAD"/>
    <w:rsid w:val="00530786"/>
    <w:rsid w:val="005312FF"/>
    <w:rsid w:val="0053236C"/>
    <w:rsid w:val="00533DC5"/>
    <w:rsid w:val="005343A4"/>
    <w:rsid w:val="005346EF"/>
    <w:rsid w:val="00535C07"/>
    <w:rsid w:val="00535DF8"/>
    <w:rsid w:val="00536D5D"/>
    <w:rsid w:val="00537606"/>
    <w:rsid w:val="005378E1"/>
    <w:rsid w:val="00537B1E"/>
    <w:rsid w:val="00537D69"/>
    <w:rsid w:val="00537EEF"/>
    <w:rsid w:val="00540D9C"/>
    <w:rsid w:val="00540EE8"/>
    <w:rsid w:val="00542339"/>
    <w:rsid w:val="005427F6"/>
    <w:rsid w:val="00543524"/>
    <w:rsid w:val="00543FBF"/>
    <w:rsid w:val="00545525"/>
    <w:rsid w:val="00546011"/>
    <w:rsid w:val="00547625"/>
    <w:rsid w:val="00547CE4"/>
    <w:rsid w:val="00547FB9"/>
    <w:rsid w:val="00548938"/>
    <w:rsid w:val="00550808"/>
    <w:rsid w:val="00550F37"/>
    <w:rsid w:val="0055100D"/>
    <w:rsid w:val="00551415"/>
    <w:rsid w:val="00552090"/>
    <w:rsid w:val="005524FD"/>
    <w:rsid w:val="00552647"/>
    <w:rsid w:val="005534DB"/>
    <w:rsid w:val="0055452A"/>
    <w:rsid w:val="00555189"/>
    <w:rsid w:val="005557E9"/>
    <w:rsid w:val="00555D75"/>
    <w:rsid w:val="00556309"/>
    <w:rsid w:val="00556EE8"/>
    <w:rsid w:val="005616DC"/>
    <w:rsid w:val="00561FFE"/>
    <w:rsid w:val="005620B1"/>
    <w:rsid w:val="00563B5A"/>
    <w:rsid w:val="00563BA8"/>
    <w:rsid w:val="005646EC"/>
    <w:rsid w:val="00564DAA"/>
    <w:rsid w:val="00566163"/>
    <w:rsid w:val="00567DEE"/>
    <w:rsid w:val="005711E3"/>
    <w:rsid w:val="0057180F"/>
    <w:rsid w:val="00571981"/>
    <w:rsid w:val="00572534"/>
    <w:rsid w:val="0057290E"/>
    <w:rsid w:val="00572E77"/>
    <w:rsid w:val="00572E9F"/>
    <w:rsid w:val="00573BD2"/>
    <w:rsid w:val="005745DE"/>
    <w:rsid w:val="005755F0"/>
    <w:rsid w:val="00575CF6"/>
    <w:rsid w:val="00576035"/>
    <w:rsid w:val="00577486"/>
    <w:rsid w:val="005806CE"/>
    <w:rsid w:val="0058148E"/>
    <w:rsid w:val="00582FF3"/>
    <w:rsid w:val="00583802"/>
    <w:rsid w:val="00583C63"/>
    <w:rsid w:val="00584B1A"/>
    <w:rsid w:val="00584DD0"/>
    <w:rsid w:val="005860DC"/>
    <w:rsid w:val="00586F69"/>
    <w:rsid w:val="005876BB"/>
    <w:rsid w:val="005908A7"/>
    <w:rsid w:val="005921AE"/>
    <w:rsid w:val="00593D3F"/>
    <w:rsid w:val="00594342"/>
    <w:rsid w:val="0059522D"/>
    <w:rsid w:val="0059543C"/>
    <w:rsid w:val="00596F11"/>
    <w:rsid w:val="005A0AC3"/>
    <w:rsid w:val="005A0AE0"/>
    <w:rsid w:val="005A18CA"/>
    <w:rsid w:val="005A1C26"/>
    <w:rsid w:val="005A1D35"/>
    <w:rsid w:val="005A2712"/>
    <w:rsid w:val="005A2A51"/>
    <w:rsid w:val="005A40DE"/>
    <w:rsid w:val="005A4846"/>
    <w:rsid w:val="005A580B"/>
    <w:rsid w:val="005A5838"/>
    <w:rsid w:val="005A6232"/>
    <w:rsid w:val="005A7000"/>
    <w:rsid w:val="005A7959"/>
    <w:rsid w:val="005A7F01"/>
    <w:rsid w:val="005B0EF9"/>
    <w:rsid w:val="005B208A"/>
    <w:rsid w:val="005B2645"/>
    <w:rsid w:val="005B2BE4"/>
    <w:rsid w:val="005B3C84"/>
    <w:rsid w:val="005B4008"/>
    <w:rsid w:val="005B4775"/>
    <w:rsid w:val="005B4F33"/>
    <w:rsid w:val="005B500C"/>
    <w:rsid w:val="005B579F"/>
    <w:rsid w:val="005B642B"/>
    <w:rsid w:val="005B6532"/>
    <w:rsid w:val="005B6CF1"/>
    <w:rsid w:val="005B6FBB"/>
    <w:rsid w:val="005B78A0"/>
    <w:rsid w:val="005B7FCF"/>
    <w:rsid w:val="005C0678"/>
    <w:rsid w:val="005C0E5E"/>
    <w:rsid w:val="005C15A6"/>
    <w:rsid w:val="005C283A"/>
    <w:rsid w:val="005C2E22"/>
    <w:rsid w:val="005C3605"/>
    <w:rsid w:val="005C5AFD"/>
    <w:rsid w:val="005C5C07"/>
    <w:rsid w:val="005C5F25"/>
    <w:rsid w:val="005C60B6"/>
    <w:rsid w:val="005C6E2E"/>
    <w:rsid w:val="005C7254"/>
    <w:rsid w:val="005C74F1"/>
    <w:rsid w:val="005C7910"/>
    <w:rsid w:val="005D0D2A"/>
    <w:rsid w:val="005D18E7"/>
    <w:rsid w:val="005D1AE8"/>
    <w:rsid w:val="005D25E2"/>
    <w:rsid w:val="005D31E3"/>
    <w:rsid w:val="005D4246"/>
    <w:rsid w:val="005D4690"/>
    <w:rsid w:val="005D46A0"/>
    <w:rsid w:val="005D60E2"/>
    <w:rsid w:val="005D636E"/>
    <w:rsid w:val="005D75E7"/>
    <w:rsid w:val="005D7B6E"/>
    <w:rsid w:val="005E0146"/>
    <w:rsid w:val="005E0C4F"/>
    <w:rsid w:val="005E161A"/>
    <w:rsid w:val="005E1BBC"/>
    <w:rsid w:val="005E233A"/>
    <w:rsid w:val="005E2C38"/>
    <w:rsid w:val="005E2F97"/>
    <w:rsid w:val="005E3965"/>
    <w:rsid w:val="005E3FAD"/>
    <w:rsid w:val="005E473B"/>
    <w:rsid w:val="005E6229"/>
    <w:rsid w:val="005E66E0"/>
    <w:rsid w:val="005E6C68"/>
    <w:rsid w:val="005E7606"/>
    <w:rsid w:val="005E8BC7"/>
    <w:rsid w:val="005F0F51"/>
    <w:rsid w:val="005F1DE1"/>
    <w:rsid w:val="005F2379"/>
    <w:rsid w:val="005F2AC0"/>
    <w:rsid w:val="005F3FAF"/>
    <w:rsid w:val="005F4190"/>
    <w:rsid w:val="005F43AF"/>
    <w:rsid w:val="005F45CD"/>
    <w:rsid w:val="005F4974"/>
    <w:rsid w:val="005F5216"/>
    <w:rsid w:val="005F7D17"/>
    <w:rsid w:val="005F7FA7"/>
    <w:rsid w:val="0060118E"/>
    <w:rsid w:val="00601521"/>
    <w:rsid w:val="00601AF7"/>
    <w:rsid w:val="00602430"/>
    <w:rsid w:val="00602AA4"/>
    <w:rsid w:val="00603EF5"/>
    <w:rsid w:val="006041E8"/>
    <w:rsid w:val="006043DC"/>
    <w:rsid w:val="006045C8"/>
    <w:rsid w:val="00604D7A"/>
    <w:rsid w:val="006058F8"/>
    <w:rsid w:val="0060646B"/>
    <w:rsid w:val="0060662A"/>
    <w:rsid w:val="0060675B"/>
    <w:rsid w:val="0060771D"/>
    <w:rsid w:val="0061085C"/>
    <w:rsid w:val="00610B36"/>
    <w:rsid w:val="00612961"/>
    <w:rsid w:val="00612C11"/>
    <w:rsid w:val="006132B8"/>
    <w:rsid w:val="006138A8"/>
    <w:rsid w:val="006140F8"/>
    <w:rsid w:val="006147E6"/>
    <w:rsid w:val="00614CDE"/>
    <w:rsid w:val="00615849"/>
    <w:rsid w:val="00615EBD"/>
    <w:rsid w:val="0061699D"/>
    <w:rsid w:val="00621CA3"/>
    <w:rsid w:val="00621DDA"/>
    <w:rsid w:val="006228D8"/>
    <w:rsid w:val="00622AE1"/>
    <w:rsid w:val="00624B0E"/>
    <w:rsid w:val="00624B64"/>
    <w:rsid w:val="00627687"/>
    <w:rsid w:val="00627E86"/>
    <w:rsid w:val="006306C1"/>
    <w:rsid w:val="0063156D"/>
    <w:rsid w:val="00631C5B"/>
    <w:rsid w:val="00632B24"/>
    <w:rsid w:val="00632BBA"/>
    <w:rsid w:val="00633BC0"/>
    <w:rsid w:val="00633C12"/>
    <w:rsid w:val="00634630"/>
    <w:rsid w:val="006350AF"/>
    <w:rsid w:val="006359CF"/>
    <w:rsid w:val="00636B5C"/>
    <w:rsid w:val="006434DC"/>
    <w:rsid w:val="00644095"/>
    <w:rsid w:val="0064452B"/>
    <w:rsid w:val="00644D3D"/>
    <w:rsid w:val="0064530D"/>
    <w:rsid w:val="006455DD"/>
    <w:rsid w:val="00645F72"/>
    <w:rsid w:val="00646851"/>
    <w:rsid w:val="00650B2F"/>
    <w:rsid w:val="00650F5E"/>
    <w:rsid w:val="00652BE7"/>
    <w:rsid w:val="00652C05"/>
    <w:rsid w:val="006541DB"/>
    <w:rsid w:val="0065488B"/>
    <w:rsid w:val="00655274"/>
    <w:rsid w:val="00655C63"/>
    <w:rsid w:val="0065608D"/>
    <w:rsid w:val="006560C6"/>
    <w:rsid w:val="006561D8"/>
    <w:rsid w:val="00660AF0"/>
    <w:rsid w:val="00661040"/>
    <w:rsid w:val="0066155E"/>
    <w:rsid w:val="0066249F"/>
    <w:rsid w:val="00662DD2"/>
    <w:rsid w:val="00662F55"/>
    <w:rsid w:val="0066399D"/>
    <w:rsid w:val="00664021"/>
    <w:rsid w:val="006647AD"/>
    <w:rsid w:val="006652B9"/>
    <w:rsid w:val="00665DAA"/>
    <w:rsid w:val="0066607E"/>
    <w:rsid w:val="0066719D"/>
    <w:rsid w:val="00667A5B"/>
    <w:rsid w:val="00670746"/>
    <w:rsid w:val="00674B32"/>
    <w:rsid w:val="00675B4D"/>
    <w:rsid w:val="00675E2D"/>
    <w:rsid w:val="00676E0D"/>
    <w:rsid w:val="00677E3E"/>
    <w:rsid w:val="00680246"/>
    <w:rsid w:val="0068178F"/>
    <w:rsid w:val="00682C37"/>
    <w:rsid w:val="006842A6"/>
    <w:rsid w:val="00684A0D"/>
    <w:rsid w:val="00686ECB"/>
    <w:rsid w:val="00691047"/>
    <w:rsid w:val="00691FB8"/>
    <w:rsid w:val="00692E1C"/>
    <w:rsid w:val="006930CB"/>
    <w:rsid w:val="0069356E"/>
    <w:rsid w:val="00693772"/>
    <w:rsid w:val="00693B6A"/>
    <w:rsid w:val="00695025"/>
    <w:rsid w:val="00695FCF"/>
    <w:rsid w:val="00696CB9"/>
    <w:rsid w:val="00697E71"/>
    <w:rsid w:val="006A0567"/>
    <w:rsid w:val="006A257C"/>
    <w:rsid w:val="006A286C"/>
    <w:rsid w:val="006A2EF4"/>
    <w:rsid w:val="006A303D"/>
    <w:rsid w:val="006A311E"/>
    <w:rsid w:val="006A348C"/>
    <w:rsid w:val="006A481A"/>
    <w:rsid w:val="006A4AE0"/>
    <w:rsid w:val="006A4B73"/>
    <w:rsid w:val="006A51CF"/>
    <w:rsid w:val="006A5218"/>
    <w:rsid w:val="006A6F0F"/>
    <w:rsid w:val="006B0866"/>
    <w:rsid w:val="006B0E12"/>
    <w:rsid w:val="006B1C74"/>
    <w:rsid w:val="006B1EB3"/>
    <w:rsid w:val="006B25B7"/>
    <w:rsid w:val="006B2981"/>
    <w:rsid w:val="006B2A18"/>
    <w:rsid w:val="006B2FAD"/>
    <w:rsid w:val="006B47EF"/>
    <w:rsid w:val="006B493C"/>
    <w:rsid w:val="006B4D5C"/>
    <w:rsid w:val="006B5F5D"/>
    <w:rsid w:val="006B70B1"/>
    <w:rsid w:val="006B7A08"/>
    <w:rsid w:val="006B7E25"/>
    <w:rsid w:val="006C0F56"/>
    <w:rsid w:val="006C152E"/>
    <w:rsid w:val="006C157F"/>
    <w:rsid w:val="006C2A5B"/>
    <w:rsid w:val="006C3375"/>
    <w:rsid w:val="006C383D"/>
    <w:rsid w:val="006C398C"/>
    <w:rsid w:val="006C58F7"/>
    <w:rsid w:val="006C5ABC"/>
    <w:rsid w:val="006C63FA"/>
    <w:rsid w:val="006C6AAC"/>
    <w:rsid w:val="006C6D56"/>
    <w:rsid w:val="006D3163"/>
    <w:rsid w:val="006D3C19"/>
    <w:rsid w:val="006D3D24"/>
    <w:rsid w:val="006D50E4"/>
    <w:rsid w:val="006D5524"/>
    <w:rsid w:val="006D7C32"/>
    <w:rsid w:val="006E015E"/>
    <w:rsid w:val="006E13D9"/>
    <w:rsid w:val="006E2BAD"/>
    <w:rsid w:val="006E2EFD"/>
    <w:rsid w:val="006E3094"/>
    <w:rsid w:val="006E5263"/>
    <w:rsid w:val="006E5324"/>
    <w:rsid w:val="006E5E24"/>
    <w:rsid w:val="006E6D67"/>
    <w:rsid w:val="006F0533"/>
    <w:rsid w:val="006F0B7D"/>
    <w:rsid w:val="006F0D14"/>
    <w:rsid w:val="006F1051"/>
    <w:rsid w:val="006F2978"/>
    <w:rsid w:val="006F2B21"/>
    <w:rsid w:val="006F35D1"/>
    <w:rsid w:val="006F38BE"/>
    <w:rsid w:val="006F5704"/>
    <w:rsid w:val="006F5C42"/>
    <w:rsid w:val="006F762E"/>
    <w:rsid w:val="007029CA"/>
    <w:rsid w:val="00702B65"/>
    <w:rsid w:val="00702D0A"/>
    <w:rsid w:val="0070302B"/>
    <w:rsid w:val="0070434E"/>
    <w:rsid w:val="00704C67"/>
    <w:rsid w:val="00704E68"/>
    <w:rsid w:val="00704E91"/>
    <w:rsid w:val="00706990"/>
    <w:rsid w:val="00706D24"/>
    <w:rsid w:val="00707625"/>
    <w:rsid w:val="00711019"/>
    <w:rsid w:val="00711E91"/>
    <w:rsid w:val="00712512"/>
    <w:rsid w:val="0071256F"/>
    <w:rsid w:val="007127E6"/>
    <w:rsid w:val="007136A4"/>
    <w:rsid w:val="007137B0"/>
    <w:rsid w:val="007138EE"/>
    <w:rsid w:val="00713F32"/>
    <w:rsid w:val="0071626A"/>
    <w:rsid w:val="007166F4"/>
    <w:rsid w:val="0071724C"/>
    <w:rsid w:val="007176D2"/>
    <w:rsid w:val="00717B6A"/>
    <w:rsid w:val="00720929"/>
    <w:rsid w:val="00720EE7"/>
    <w:rsid w:val="00722265"/>
    <w:rsid w:val="007224E7"/>
    <w:rsid w:val="007229B8"/>
    <w:rsid w:val="00722D02"/>
    <w:rsid w:val="00723EEA"/>
    <w:rsid w:val="00727F9B"/>
    <w:rsid w:val="00730202"/>
    <w:rsid w:val="00731131"/>
    <w:rsid w:val="00731807"/>
    <w:rsid w:val="00732B43"/>
    <w:rsid w:val="007335F8"/>
    <w:rsid w:val="0073425E"/>
    <w:rsid w:val="00734B83"/>
    <w:rsid w:val="0073794B"/>
    <w:rsid w:val="00741B1C"/>
    <w:rsid w:val="0074219C"/>
    <w:rsid w:val="007441D5"/>
    <w:rsid w:val="00745A76"/>
    <w:rsid w:val="00745B43"/>
    <w:rsid w:val="00747193"/>
    <w:rsid w:val="00747B5A"/>
    <w:rsid w:val="00747BC9"/>
    <w:rsid w:val="00751121"/>
    <w:rsid w:val="00751A30"/>
    <w:rsid w:val="00751B6F"/>
    <w:rsid w:val="00751C55"/>
    <w:rsid w:val="007522C5"/>
    <w:rsid w:val="007526D9"/>
    <w:rsid w:val="00752BBB"/>
    <w:rsid w:val="00753061"/>
    <w:rsid w:val="00754791"/>
    <w:rsid w:val="0075651B"/>
    <w:rsid w:val="00756963"/>
    <w:rsid w:val="007575E4"/>
    <w:rsid w:val="00761499"/>
    <w:rsid w:val="0076226A"/>
    <w:rsid w:val="0076338C"/>
    <w:rsid w:val="0076461E"/>
    <w:rsid w:val="0076552F"/>
    <w:rsid w:val="0076595D"/>
    <w:rsid w:val="00767020"/>
    <w:rsid w:val="00770683"/>
    <w:rsid w:val="00771922"/>
    <w:rsid w:val="00773D6E"/>
    <w:rsid w:val="00774653"/>
    <w:rsid w:val="00774AE6"/>
    <w:rsid w:val="00775509"/>
    <w:rsid w:val="007758B9"/>
    <w:rsid w:val="007776AC"/>
    <w:rsid w:val="00780577"/>
    <w:rsid w:val="00780602"/>
    <w:rsid w:val="007807BD"/>
    <w:rsid w:val="00780F98"/>
    <w:rsid w:val="00781D71"/>
    <w:rsid w:val="00782942"/>
    <w:rsid w:val="00783BFF"/>
    <w:rsid w:val="00784199"/>
    <w:rsid w:val="0078439A"/>
    <w:rsid w:val="00784BD7"/>
    <w:rsid w:val="0078548C"/>
    <w:rsid w:val="007867CE"/>
    <w:rsid w:val="0078701A"/>
    <w:rsid w:val="0079021B"/>
    <w:rsid w:val="00790862"/>
    <w:rsid w:val="00790CE1"/>
    <w:rsid w:val="0079283E"/>
    <w:rsid w:val="00792AA3"/>
    <w:rsid w:val="00793111"/>
    <w:rsid w:val="007937EF"/>
    <w:rsid w:val="00793FCB"/>
    <w:rsid w:val="00795062"/>
    <w:rsid w:val="007969CC"/>
    <w:rsid w:val="00796E3E"/>
    <w:rsid w:val="00797CA2"/>
    <w:rsid w:val="007A0E75"/>
    <w:rsid w:val="007A122B"/>
    <w:rsid w:val="007A16F3"/>
    <w:rsid w:val="007A2012"/>
    <w:rsid w:val="007A3C26"/>
    <w:rsid w:val="007A41BB"/>
    <w:rsid w:val="007A612A"/>
    <w:rsid w:val="007A66BD"/>
    <w:rsid w:val="007A7EF7"/>
    <w:rsid w:val="007A7FCA"/>
    <w:rsid w:val="007B0549"/>
    <w:rsid w:val="007B0837"/>
    <w:rsid w:val="007B13EB"/>
    <w:rsid w:val="007B13EE"/>
    <w:rsid w:val="007B15D2"/>
    <w:rsid w:val="007B264B"/>
    <w:rsid w:val="007B2854"/>
    <w:rsid w:val="007B2A2D"/>
    <w:rsid w:val="007B2A5E"/>
    <w:rsid w:val="007B3638"/>
    <w:rsid w:val="007B5343"/>
    <w:rsid w:val="007B5540"/>
    <w:rsid w:val="007B555D"/>
    <w:rsid w:val="007B571F"/>
    <w:rsid w:val="007B5EB8"/>
    <w:rsid w:val="007B6E33"/>
    <w:rsid w:val="007B7075"/>
    <w:rsid w:val="007B7681"/>
    <w:rsid w:val="007C03D7"/>
    <w:rsid w:val="007C17EE"/>
    <w:rsid w:val="007C188F"/>
    <w:rsid w:val="007C28F1"/>
    <w:rsid w:val="007C3F81"/>
    <w:rsid w:val="007C4DE9"/>
    <w:rsid w:val="007C58FE"/>
    <w:rsid w:val="007C61C8"/>
    <w:rsid w:val="007C656D"/>
    <w:rsid w:val="007C68B7"/>
    <w:rsid w:val="007C7DD0"/>
    <w:rsid w:val="007D00D3"/>
    <w:rsid w:val="007D1181"/>
    <w:rsid w:val="007D1425"/>
    <w:rsid w:val="007D2824"/>
    <w:rsid w:val="007D2974"/>
    <w:rsid w:val="007D2AB1"/>
    <w:rsid w:val="007D2BE6"/>
    <w:rsid w:val="007D2CEC"/>
    <w:rsid w:val="007D2CEF"/>
    <w:rsid w:val="007D4A4A"/>
    <w:rsid w:val="007D4EEE"/>
    <w:rsid w:val="007D5280"/>
    <w:rsid w:val="007D5BD9"/>
    <w:rsid w:val="007D64F3"/>
    <w:rsid w:val="007D66BB"/>
    <w:rsid w:val="007D7999"/>
    <w:rsid w:val="007E0F69"/>
    <w:rsid w:val="007E0FAF"/>
    <w:rsid w:val="007E217D"/>
    <w:rsid w:val="007E2BEF"/>
    <w:rsid w:val="007E2CFE"/>
    <w:rsid w:val="007E3777"/>
    <w:rsid w:val="007E3CAB"/>
    <w:rsid w:val="007E4977"/>
    <w:rsid w:val="007E4BD9"/>
    <w:rsid w:val="007E4CC2"/>
    <w:rsid w:val="007E65F5"/>
    <w:rsid w:val="007E7E5D"/>
    <w:rsid w:val="007F084C"/>
    <w:rsid w:val="007F1F00"/>
    <w:rsid w:val="007F2C04"/>
    <w:rsid w:val="007F3504"/>
    <w:rsid w:val="007F3BB1"/>
    <w:rsid w:val="007F3ED4"/>
    <w:rsid w:val="007F3F1F"/>
    <w:rsid w:val="007F46C9"/>
    <w:rsid w:val="007F4710"/>
    <w:rsid w:val="007F4EF3"/>
    <w:rsid w:val="007F5FFF"/>
    <w:rsid w:val="007F65C7"/>
    <w:rsid w:val="007F7491"/>
    <w:rsid w:val="007F7C5E"/>
    <w:rsid w:val="007F7C8D"/>
    <w:rsid w:val="007F7ED8"/>
    <w:rsid w:val="008000E3"/>
    <w:rsid w:val="008010F1"/>
    <w:rsid w:val="008010FA"/>
    <w:rsid w:val="008013E5"/>
    <w:rsid w:val="00801FBE"/>
    <w:rsid w:val="008053D5"/>
    <w:rsid w:val="0080568C"/>
    <w:rsid w:val="008068BB"/>
    <w:rsid w:val="00806F15"/>
    <w:rsid w:val="00806FC1"/>
    <w:rsid w:val="00807928"/>
    <w:rsid w:val="008118A7"/>
    <w:rsid w:val="008137C7"/>
    <w:rsid w:val="00813A90"/>
    <w:rsid w:val="008142A9"/>
    <w:rsid w:val="008157EA"/>
    <w:rsid w:val="0081585F"/>
    <w:rsid w:val="0081624E"/>
    <w:rsid w:val="008171CC"/>
    <w:rsid w:val="008178BA"/>
    <w:rsid w:val="00817C22"/>
    <w:rsid w:val="00822F6D"/>
    <w:rsid w:val="00823580"/>
    <w:rsid w:val="008239BD"/>
    <w:rsid w:val="0082401B"/>
    <w:rsid w:val="00824267"/>
    <w:rsid w:val="00824ED5"/>
    <w:rsid w:val="0082516B"/>
    <w:rsid w:val="008257C4"/>
    <w:rsid w:val="00825E34"/>
    <w:rsid w:val="0082610D"/>
    <w:rsid w:val="008266A5"/>
    <w:rsid w:val="008276D5"/>
    <w:rsid w:val="0083124B"/>
    <w:rsid w:val="00832270"/>
    <w:rsid w:val="00834114"/>
    <w:rsid w:val="00835B14"/>
    <w:rsid w:val="00835D32"/>
    <w:rsid w:val="0083713D"/>
    <w:rsid w:val="0084008C"/>
    <w:rsid w:val="0084024F"/>
    <w:rsid w:val="00841D65"/>
    <w:rsid w:val="00844519"/>
    <w:rsid w:val="0084663B"/>
    <w:rsid w:val="0084690F"/>
    <w:rsid w:val="00847199"/>
    <w:rsid w:val="00847EA6"/>
    <w:rsid w:val="00850072"/>
    <w:rsid w:val="00852619"/>
    <w:rsid w:val="008530D5"/>
    <w:rsid w:val="00854134"/>
    <w:rsid w:val="008543DF"/>
    <w:rsid w:val="00854885"/>
    <w:rsid w:val="00855411"/>
    <w:rsid w:val="00855FE5"/>
    <w:rsid w:val="008572CD"/>
    <w:rsid w:val="00857476"/>
    <w:rsid w:val="00860356"/>
    <w:rsid w:val="00861118"/>
    <w:rsid w:val="008628AB"/>
    <w:rsid w:val="00865903"/>
    <w:rsid w:val="0086675C"/>
    <w:rsid w:val="00867A7B"/>
    <w:rsid w:val="00867F98"/>
    <w:rsid w:val="0087011A"/>
    <w:rsid w:val="0087129A"/>
    <w:rsid w:val="008712F6"/>
    <w:rsid w:val="0087199C"/>
    <w:rsid w:val="008719A8"/>
    <w:rsid w:val="00872C08"/>
    <w:rsid w:val="00872CC5"/>
    <w:rsid w:val="00872FFC"/>
    <w:rsid w:val="0087359F"/>
    <w:rsid w:val="00873BB4"/>
    <w:rsid w:val="008747FA"/>
    <w:rsid w:val="00876E6A"/>
    <w:rsid w:val="0087708D"/>
    <w:rsid w:val="0087726D"/>
    <w:rsid w:val="008772BD"/>
    <w:rsid w:val="00880545"/>
    <w:rsid w:val="008806C5"/>
    <w:rsid w:val="00881AFC"/>
    <w:rsid w:val="00882BAA"/>
    <w:rsid w:val="00884BD1"/>
    <w:rsid w:val="00884FBB"/>
    <w:rsid w:val="00884FD5"/>
    <w:rsid w:val="00885606"/>
    <w:rsid w:val="00885F4D"/>
    <w:rsid w:val="008860BA"/>
    <w:rsid w:val="008902F6"/>
    <w:rsid w:val="008905E9"/>
    <w:rsid w:val="008905F4"/>
    <w:rsid w:val="008914FC"/>
    <w:rsid w:val="00891AE3"/>
    <w:rsid w:val="008931F0"/>
    <w:rsid w:val="00894018"/>
    <w:rsid w:val="00896865"/>
    <w:rsid w:val="00897095"/>
    <w:rsid w:val="008974FD"/>
    <w:rsid w:val="008977F5"/>
    <w:rsid w:val="00897E71"/>
    <w:rsid w:val="008A1C2A"/>
    <w:rsid w:val="008A2314"/>
    <w:rsid w:val="008A244B"/>
    <w:rsid w:val="008A3C5C"/>
    <w:rsid w:val="008A4177"/>
    <w:rsid w:val="008A4A01"/>
    <w:rsid w:val="008A4C7E"/>
    <w:rsid w:val="008A4CB7"/>
    <w:rsid w:val="008A659E"/>
    <w:rsid w:val="008A739B"/>
    <w:rsid w:val="008A7DBE"/>
    <w:rsid w:val="008B02E0"/>
    <w:rsid w:val="008B139F"/>
    <w:rsid w:val="008B13F9"/>
    <w:rsid w:val="008B181D"/>
    <w:rsid w:val="008B258D"/>
    <w:rsid w:val="008B3F24"/>
    <w:rsid w:val="008B43D1"/>
    <w:rsid w:val="008B6193"/>
    <w:rsid w:val="008B6C96"/>
    <w:rsid w:val="008B7A13"/>
    <w:rsid w:val="008C0DD8"/>
    <w:rsid w:val="008C0E75"/>
    <w:rsid w:val="008C141C"/>
    <w:rsid w:val="008C2972"/>
    <w:rsid w:val="008C31BE"/>
    <w:rsid w:val="008C32AC"/>
    <w:rsid w:val="008C3DC6"/>
    <w:rsid w:val="008C4CC5"/>
    <w:rsid w:val="008C51AC"/>
    <w:rsid w:val="008C5C05"/>
    <w:rsid w:val="008C5D02"/>
    <w:rsid w:val="008C5E4C"/>
    <w:rsid w:val="008C5F79"/>
    <w:rsid w:val="008C7086"/>
    <w:rsid w:val="008C74BC"/>
    <w:rsid w:val="008C765C"/>
    <w:rsid w:val="008D0DB7"/>
    <w:rsid w:val="008D0EF5"/>
    <w:rsid w:val="008D0F8E"/>
    <w:rsid w:val="008D3B22"/>
    <w:rsid w:val="008D3BB7"/>
    <w:rsid w:val="008D458A"/>
    <w:rsid w:val="008D45E0"/>
    <w:rsid w:val="008D521A"/>
    <w:rsid w:val="008D5EC1"/>
    <w:rsid w:val="008D5F95"/>
    <w:rsid w:val="008D7088"/>
    <w:rsid w:val="008D72A3"/>
    <w:rsid w:val="008E0387"/>
    <w:rsid w:val="008E07F1"/>
    <w:rsid w:val="008E08F9"/>
    <w:rsid w:val="008E1815"/>
    <w:rsid w:val="008E1A38"/>
    <w:rsid w:val="008E25A4"/>
    <w:rsid w:val="008E3D89"/>
    <w:rsid w:val="008E47FD"/>
    <w:rsid w:val="008E4D40"/>
    <w:rsid w:val="008E5204"/>
    <w:rsid w:val="008E6F49"/>
    <w:rsid w:val="008E76A5"/>
    <w:rsid w:val="008F01DC"/>
    <w:rsid w:val="008F136F"/>
    <w:rsid w:val="008F26FE"/>
    <w:rsid w:val="008F2987"/>
    <w:rsid w:val="008F3B07"/>
    <w:rsid w:val="008F3FC6"/>
    <w:rsid w:val="008F41CB"/>
    <w:rsid w:val="008F42B4"/>
    <w:rsid w:val="008F4903"/>
    <w:rsid w:val="008F4A90"/>
    <w:rsid w:val="008F4F3D"/>
    <w:rsid w:val="008F6C0F"/>
    <w:rsid w:val="008F75CB"/>
    <w:rsid w:val="008F782A"/>
    <w:rsid w:val="008F7F11"/>
    <w:rsid w:val="009013CE"/>
    <w:rsid w:val="00901EBA"/>
    <w:rsid w:val="009033AB"/>
    <w:rsid w:val="00903584"/>
    <w:rsid w:val="00903652"/>
    <w:rsid w:val="009077F2"/>
    <w:rsid w:val="009079BD"/>
    <w:rsid w:val="0091097B"/>
    <w:rsid w:val="00910AE7"/>
    <w:rsid w:val="00910F91"/>
    <w:rsid w:val="0091136B"/>
    <w:rsid w:val="009120D9"/>
    <w:rsid w:val="00912B1F"/>
    <w:rsid w:val="00912FF5"/>
    <w:rsid w:val="00914702"/>
    <w:rsid w:val="00914960"/>
    <w:rsid w:val="00915624"/>
    <w:rsid w:val="00915B95"/>
    <w:rsid w:val="00915C64"/>
    <w:rsid w:val="0091666A"/>
    <w:rsid w:val="00916F94"/>
    <w:rsid w:val="00917A4D"/>
    <w:rsid w:val="009206CC"/>
    <w:rsid w:val="009212AC"/>
    <w:rsid w:val="009248CF"/>
    <w:rsid w:val="00925167"/>
    <w:rsid w:val="0092565A"/>
    <w:rsid w:val="00925729"/>
    <w:rsid w:val="00925FB7"/>
    <w:rsid w:val="009274B5"/>
    <w:rsid w:val="00927BA1"/>
    <w:rsid w:val="00931AD3"/>
    <w:rsid w:val="00931FDE"/>
    <w:rsid w:val="009338FF"/>
    <w:rsid w:val="0093583C"/>
    <w:rsid w:val="00936C4B"/>
    <w:rsid w:val="00936FED"/>
    <w:rsid w:val="009375AE"/>
    <w:rsid w:val="00937D9D"/>
    <w:rsid w:val="00941259"/>
    <w:rsid w:val="00941ABF"/>
    <w:rsid w:val="00941D2C"/>
    <w:rsid w:val="00941F94"/>
    <w:rsid w:val="009421FE"/>
    <w:rsid w:val="00943A0B"/>
    <w:rsid w:val="00943CA0"/>
    <w:rsid w:val="00944B09"/>
    <w:rsid w:val="00944B84"/>
    <w:rsid w:val="0094592C"/>
    <w:rsid w:val="00946DD9"/>
    <w:rsid w:val="00947125"/>
    <w:rsid w:val="009476AB"/>
    <w:rsid w:val="00947C6B"/>
    <w:rsid w:val="009501B5"/>
    <w:rsid w:val="0095165F"/>
    <w:rsid w:val="009517AF"/>
    <w:rsid w:val="009525EF"/>
    <w:rsid w:val="00952612"/>
    <w:rsid w:val="00953F09"/>
    <w:rsid w:val="0095459F"/>
    <w:rsid w:val="009551D2"/>
    <w:rsid w:val="0095752B"/>
    <w:rsid w:val="00957EDB"/>
    <w:rsid w:val="009612BB"/>
    <w:rsid w:val="00961906"/>
    <w:rsid w:val="00962908"/>
    <w:rsid w:val="00962A9D"/>
    <w:rsid w:val="00962D3F"/>
    <w:rsid w:val="00962FB5"/>
    <w:rsid w:val="00963258"/>
    <w:rsid w:val="00964129"/>
    <w:rsid w:val="00964C0A"/>
    <w:rsid w:val="00964C9B"/>
    <w:rsid w:val="00966100"/>
    <w:rsid w:val="0097023F"/>
    <w:rsid w:val="00970659"/>
    <w:rsid w:val="0097130E"/>
    <w:rsid w:val="00971870"/>
    <w:rsid w:val="00972419"/>
    <w:rsid w:val="009725E9"/>
    <w:rsid w:val="00972651"/>
    <w:rsid w:val="009729A9"/>
    <w:rsid w:val="00973303"/>
    <w:rsid w:val="009743A0"/>
    <w:rsid w:val="00974C7F"/>
    <w:rsid w:val="0097610B"/>
    <w:rsid w:val="0097770A"/>
    <w:rsid w:val="00980134"/>
    <w:rsid w:val="00980982"/>
    <w:rsid w:val="00984581"/>
    <w:rsid w:val="00984AED"/>
    <w:rsid w:val="00984EE8"/>
    <w:rsid w:val="0098555B"/>
    <w:rsid w:val="00985F85"/>
    <w:rsid w:val="00986A72"/>
    <w:rsid w:val="00987F18"/>
    <w:rsid w:val="0099037E"/>
    <w:rsid w:val="00990868"/>
    <w:rsid w:val="00991A30"/>
    <w:rsid w:val="00992A96"/>
    <w:rsid w:val="009934B3"/>
    <w:rsid w:val="00994A32"/>
    <w:rsid w:val="00994D13"/>
    <w:rsid w:val="009963A4"/>
    <w:rsid w:val="00997574"/>
    <w:rsid w:val="00997A9E"/>
    <w:rsid w:val="009A06DB"/>
    <w:rsid w:val="009A0A0E"/>
    <w:rsid w:val="009A118C"/>
    <w:rsid w:val="009A1654"/>
    <w:rsid w:val="009A2319"/>
    <w:rsid w:val="009A2377"/>
    <w:rsid w:val="009A254B"/>
    <w:rsid w:val="009A29B0"/>
    <w:rsid w:val="009A4522"/>
    <w:rsid w:val="009A460E"/>
    <w:rsid w:val="009A6FE3"/>
    <w:rsid w:val="009A7DD4"/>
    <w:rsid w:val="009AEF21"/>
    <w:rsid w:val="009AF3E2"/>
    <w:rsid w:val="009B042A"/>
    <w:rsid w:val="009B2509"/>
    <w:rsid w:val="009B2898"/>
    <w:rsid w:val="009B294D"/>
    <w:rsid w:val="009B36BC"/>
    <w:rsid w:val="009B4739"/>
    <w:rsid w:val="009B49BB"/>
    <w:rsid w:val="009B4F84"/>
    <w:rsid w:val="009B5D87"/>
    <w:rsid w:val="009B6120"/>
    <w:rsid w:val="009B76E6"/>
    <w:rsid w:val="009C08ED"/>
    <w:rsid w:val="009C0FE9"/>
    <w:rsid w:val="009C328D"/>
    <w:rsid w:val="009C3C7D"/>
    <w:rsid w:val="009C697F"/>
    <w:rsid w:val="009C723E"/>
    <w:rsid w:val="009C7581"/>
    <w:rsid w:val="009C7C8F"/>
    <w:rsid w:val="009D0B1F"/>
    <w:rsid w:val="009D0FA1"/>
    <w:rsid w:val="009D1E8D"/>
    <w:rsid w:val="009D202C"/>
    <w:rsid w:val="009D34D8"/>
    <w:rsid w:val="009D3BE3"/>
    <w:rsid w:val="009D3C79"/>
    <w:rsid w:val="009D503F"/>
    <w:rsid w:val="009D5142"/>
    <w:rsid w:val="009D59F9"/>
    <w:rsid w:val="009D6720"/>
    <w:rsid w:val="009D742A"/>
    <w:rsid w:val="009E08E5"/>
    <w:rsid w:val="009E1C5C"/>
    <w:rsid w:val="009E1E66"/>
    <w:rsid w:val="009E3F51"/>
    <w:rsid w:val="009E61A5"/>
    <w:rsid w:val="009E67AC"/>
    <w:rsid w:val="009E7A71"/>
    <w:rsid w:val="009F19AA"/>
    <w:rsid w:val="009F2CFC"/>
    <w:rsid w:val="009F2F50"/>
    <w:rsid w:val="009F3723"/>
    <w:rsid w:val="009F3731"/>
    <w:rsid w:val="009F3A2E"/>
    <w:rsid w:val="009F48AD"/>
    <w:rsid w:val="009F587F"/>
    <w:rsid w:val="009F5E30"/>
    <w:rsid w:val="009F6A41"/>
    <w:rsid w:val="009F7F05"/>
    <w:rsid w:val="00A00D37"/>
    <w:rsid w:val="00A016D7"/>
    <w:rsid w:val="00A019DA"/>
    <w:rsid w:val="00A01D53"/>
    <w:rsid w:val="00A020D3"/>
    <w:rsid w:val="00A0247E"/>
    <w:rsid w:val="00A028A8"/>
    <w:rsid w:val="00A03790"/>
    <w:rsid w:val="00A03FAF"/>
    <w:rsid w:val="00A040B8"/>
    <w:rsid w:val="00A042CA"/>
    <w:rsid w:val="00A04E54"/>
    <w:rsid w:val="00A057EE"/>
    <w:rsid w:val="00A05B5E"/>
    <w:rsid w:val="00A06BBE"/>
    <w:rsid w:val="00A1140D"/>
    <w:rsid w:val="00A118C1"/>
    <w:rsid w:val="00A11EF8"/>
    <w:rsid w:val="00A12B5F"/>
    <w:rsid w:val="00A137BE"/>
    <w:rsid w:val="00A13A0C"/>
    <w:rsid w:val="00A14209"/>
    <w:rsid w:val="00A1432B"/>
    <w:rsid w:val="00A15597"/>
    <w:rsid w:val="00A161BB"/>
    <w:rsid w:val="00A17032"/>
    <w:rsid w:val="00A17B47"/>
    <w:rsid w:val="00A17DA7"/>
    <w:rsid w:val="00A20429"/>
    <w:rsid w:val="00A20ECB"/>
    <w:rsid w:val="00A2120D"/>
    <w:rsid w:val="00A21D33"/>
    <w:rsid w:val="00A21E89"/>
    <w:rsid w:val="00A22B06"/>
    <w:rsid w:val="00A22DC5"/>
    <w:rsid w:val="00A2318F"/>
    <w:rsid w:val="00A25402"/>
    <w:rsid w:val="00A26E41"/>
    <w:rsid w:val="00A27994"/>
    <w:rsid w:val="00A30B07"/>
    <w:rsid w:val="00A30D0D"/>
    <w:rsid w:val="00A33971"/>
    <w:rsid w:val="00A349CF"/>
    <w:rsid w:val="00A34D97"/>
    <w:rsid w:val="00A34EEA"/>
    <w:rsid w:val="00A35F7D"/>
    <w:rsid w:val="00A36D99"/>
    <w:rsid w:val="00A40188"/>
    <w:rsid w:val="00A41104"/>
    <w:rsid w:val="00A4165E"/>
    <w:rsid w:val="00A41AF2"/>
    <w:rsid w:val="00A42695"/>
    <w:rsid w:val="00A431FD"/>
    <w:rsid w:val="00A43386"/>
    <w:rsid w:val="00A434F7"/>
    <w:rsid w:val="00A43DFF"/>
    <w:rsid w:val="00A44AE2"/>
    <w:rsid w:val="00A457FD"/>
    <w:rsid w:val="00A4590C"/>
    <w:rsid w:val="00A45ACC"/>
    <w:rsid w:val="00A475FF"/>
    <w:rsid w:val="00A505CE"/>
    <w:rsid w:val="00A52916"/>
    <w:rsid w:val="00A532E0"/>
    <w:rsid w:val="00A53C1C"/>
    <w:rsid w:val="00A552B6"/>
    <w:rsid w:val="00A553E8"/>
    <w:rsid w:val="00A566F3"/>
    <w:rsid w:val="00A60DFA"/>
    <w:rsid w:val="00A61400"/>
    <w:rsid w:val="00A61693"/>
    <w:rsid w:val="00A61A13"/>
    <w:rsid w:val="00A61F5C"/>
    <w:rsid w:val="00A627AC"/>
    <w:rsid w:val="00A6489E"/>
    <w:rsid w:val="00A64B48"/>
    <w:rsid w:val="00A66E22"/>
    <w:rsid w:val="00A67B20"/>
    <w:rsid w:val="00A67BD6"/>
    <w:rsid w:val="00A70D88"/>
    <w:rsid w:val="00A72107"/>
    <w:rsid w:val="00A726E6"/>
    <w:rsid w:val="00A73290"/>
    <w:rsid w:val="00A732C1"/>
    <w:rsid w:val="00A73F23"/>
    <w:rsid w:val="00A7496C"/>
    <w:rsid w:val="00A74D8C"/>
    <w:rsid w:val="00A74F2D"/>
    <w:rsid w:val="00A756E6"/>
    <w:rsid w:val="00A75D6A"/>
    <w:rsid w:val="00A76F7D"/>
    <w:rsid w:val="00A77948"/>
    <w:rsid w:val="00A77B06"/>
    <w:rsid w:val="00A803FA"/>
    <w:rsid w:val="00A8116A"/>
    <w:rsid w:val="00A8365D"/>
    <w:rsid w:val="00A83D0A"/>
    <w:rsid w:val="00A84548"/>
    <w:rsid w:val="00A85C08"/>
    <w:rsid w:val="00A8652F"/>
    <w:rsid w:val="00A902A0"/>
    <w:rsid w:val="00A90C34"/>
    <w:rsid w:val="00A912A4"/>
    <w:rsid w:val="00A917E1"/>
    <w:rsid w:val="00A9201F"/>
    <w:rsid w:val="00A9238D"/>
    <w:rsid w:val="00A92C83"/>
    <w:rsid w:val="00A93741"/>
    <w:rsid w:val="00A94E1E"/>
    <w:rsid w:val="00A95101"/>
    <w:rsid w:val="00A951A9"/>
    <w:rsid w:val="00A96853"/>
    <w:rsid w:val="00AA09CE"/>
    <w:rsid w:val="00AA34D0"/>
    <w:rsid w:val="00AA38FC"/>
    <w:rsid w:val="00AA46AC"/>
    <w:rsid w:val="00AA592E"/>
    <w:rsid w:val="00AA65E4"/>
    <w:rsid w:val="00AB01DB"/>
    <w:rsid w:val="00AB0889"/>
    <w:rsid w:val="00AB0B0A"/>
    <w:rsid w:val="00AB1B76"/>
    <w:rsid w:val="00AB206A"/>
    <w:rsid w:val="00AB318B"/>
    <w:rsid w:val="00AB3873"/>
    <w:rsid w:val="00AB415F"/>
    <w:rsid w:val="00AB45D9"/>
    <w:rsid w:val="00AB5501"/>
    <w:rsid w:val="00AB6173"/>
    <w:rsid w:val="00AB6521"/>
    <w:rsid w:val="00AC0110"/>
    <w:rsid w:val="00AC0B58"/>
    <w:rsid w:val="00AC1DF9"/>
    <w:rsid w:val="00AC2B4C"/>
    <w:rsid w:val="00AC4231"/>
    <w:rsid w:val="00AC48BA"/>
    <w:rsid w:val="00AC51FB"/>
    <w:rsid w:val="00AC5704"/>
    <w:rsid w:val="00AC58BE"/>
    <w:rsid w:val="00AC72A8"/>
    <w:rsid w:val="00AC75D9"/>
    <w:rsid w:val="00AD02E7"/>
    <w:rsid w:val="00AD10C5"/>
    <w:rsid w:val="00AD127B"/>
    <w:rsid w:val="00AD1937"/>
    <w:rsid w:val="00AD1BA5"/>
    <w:rsid w:val="00AD1C80"/>
    <w:rsid w:val="00AD41B6"/>
    <w:rsid w:val="00AD4A4F"/>
    <w:rsid w:val="00AD5013"/>
    <w:rsid w:val="00AD54B3"/>
    <w:rsid w:val="00AD6F87"/>
    <w:rsid w:val="00AD6F9B"/>
    <w:rsid w:val="00AD7179"/>
    <w:rsid w:val="00AE01F6"/>
    <w:rsid w:val="00AE0476"/>
    <w:rsid w:val="00AE270B"/>
    <w:rsid w:val="00AE36D4"/>
    <w:rsid w:val="00AE383A"/>
    <w:rsid w:val="00AE3D3F"/>
    <w:rsid w:val="00AE4FE8"/>
    <w:rsid w:val="00AE54FE"/>
    <w:rsid w:val="00AE6034"/>
    <w:rsid w:val="00AE6AD2"/>
    <w:rsid w:val="00AE6C07"/>
    <w:rsid w:val="00AE7862"/>
    <w:rsid w:val="00AE78F4"/>
    <w:rsid w:val="00AE7E3E"/>
    <w:rsid w:val="00AF07F6"/>
    <w:rsid w:val="00AF16F5"/>
    <w:rsid w:val="00AF292A"/>
    <w:rsid w:val="00AF2B4D"/>
    <w:rsid w:val="00AF3DD0"/>
    <w:rsid w:val="00AF462E"/>
    <w:rsid w:val="00AF50CA"/>
    <w:rsid w:val="00AF5D77"/>
    <w:rsid w:val="00AF5F30"/>
    <w:rsid w:val="00AF672E"/>
    <w:rsid w:val="00B003D9"/>
    <w:rsid w:val="00B015BF"/>
    <w:rsid w:val="00B01711"/>
    <w:rsid w:val="00B0428C"/>
    <w:rsid w:val="00B04E45"/>
    <w:rsid w:val="00B05077"/>
    <w:rsid w:val="00B052AA"/>
    <w:rsid w:val="00B06E7E"/>
    <w:rsid w:val="00B071B4"/>
    <w:rsid w:val="00B103A5"/>
    <w:rsid w:val="00B10427"/>
    <w:rsid w:val="00B114A1"/>
    <w:rsid w:val="00B11D09"/>
    <w:rsid w:val="00B128E9"/>
    <w:rsid w:val="00B133AB"/>
    <w:rsid w:val="00B14BBF"/>
    <w:rsid w:val="00B160DA"/>
    <w:rsid w:val="00B166A4"/>
    <w:rsid w:val="00B17B2E"/>
    <w:rsid w:val="00B17BC9"/>
    <w:rsid w:val="00B20C9E"/>
    <w:rsid w:val="00B2297E"/>
    <w:rsid w:val="00B22A1F"/>
    <w:rsid w:val="00B23B9C"/>
    <w:rsid w:val="00B23DD1"/>
    <w:rsid w:val="00B247A5"/>
    <w:rsid w:val="00B24F00"/>
    <w:rsid w:val="00B266A4"/>
    <w:rsid w:val="00B315B6"/>
    <w:rsid w:val="00B31B4A"/>
    <w:rsid w:val="00B32674"/>
    <w:rsid w:val="00B32DA7"/>
    <w:rsid w:val="00B33F45"/>
    <w:rsid w:val="00B3451C"/>
    <w:rsid w:val="00B360F0"/>
    <w:rsid w:val="00B3617E"/>
    <w:rsid w:val="00B36604"/>
    <w:rsid w:val="00B36BF6"/>
    <w:rsid w:val="00B3760A"/>
    <w:rsid w:val="00B4010A"/>
    <w:rsid w:val="00B40646"/>
    <w:rsid w:val="00B418D2"/>
    <w:rsid w:val="00B41F9F"/>
    <w:rsid w:val="00B431A3"/>
    <w:rsid w:val="00B46295"/>
    <w:rsid w:val="00B47926"/>
    <w:rsid w:val="00B47E12"/>
    <w:rsid w:val="00B47F86"/>
    <w:rsid w:val="00B50435"/>
    <w:rsid w:val="00B51BFB"/>
    <w:rsid w:val="00B524EA"/>
    <w:rsid w:val="00B525F5"/>
    <w:rsid w:val="00B52B16"/>
    <w:rsid w:val="00B53E1E"/>
    <w:rsid w:val="00B54409"/>
    <w:rsid w:val="00B55539"/>
    <w:rsid w:val="00B5569C"/>
    <w:rsid w:val="00B56691"/>
    <w:rsid w:val="00B57373"/>
    <w:rsid w:val="00B57FA7"/>
    <w:rsid w:val="00B60197"/>
    <w:rsid w:val="00B6165A"/>
    <w:rsid w:val="00B62B02"/>
    <w:rsid w:val="00B65E8D"/>
    <w:rsid w:val="00B719D5"/>
    <w:rsid w:val="00B72242"/>
    <w:rsid w:val="00B7292B"/>
    <w:rsid w:val="00B729B6"/>
    <w:rsid w:val="00B73421"/>
    <w:rsid w:val="00B7393C"/>
    <w:rsid w:val="00B73977"/>
    <w:rsid w:val="00B73E6E"/>
    <w:rsid w:val="00B7411D"/>
    <w:rsid w:val="00B74A94"/>
    <w:rsid w:val="00B7518C"/>
    <w:rsid w:val="00B75BCD"/>
    <w:rsid w:val="00B778D3"/>
    <w:rsid w:val="00B8017E"/>
    <w:rsid w:val="00B80E25"/>
    <w:rsid w:val="00B80F65"/>
    <w:rsid w:val="00B81C72"/>
    <w:rsid w:val="00B82071"/>
    <w:rsid w:val="00B868E1"/>
    <w:rsid w:val="00B876AE"/>
    <w:rsid w:val="00B87C02"/>
    <w:rsid w:val="00B905C2"/>
    <w:rsid w:val="00B90737"/>
    <w:rsid w:val="00B9083A"/>
    <w:rsid w:val="00B910B4"/>
    <w:rsid w:val="00B91D1E"/>
    <w:rsid w:val="00B936ED"/>
    <w:rsid w:val="00B93886"/>
    <w:rsid w:val="00B96050"/>
    <w:rsid w:val="00B9674A"/>
    <w:rsid w:val="00B972B6"/>
    <w:rsid w:val="00B97D38"/>
    <w:rsid w:val="00B97DDE"/>
    <w:rsid w:val="00BA026E"/>
    <w:rsid w:val="00BA0C66"/>
    <w:rsid w:val="00BA168D"/>
    <w:rsid w:val="00BA3DE6"/>
    <w:rsid w:val="00BA7AB5"/>
    <w:rsid w:val="00BA7B2B"/>
    <w:rsid w:val="00BB000C"/>
    <w:rsid w:val="00BB0971"/>
    <w:rsid w:val="00BB0E10"/>
    <w:rsid w:val="00BB2A04"/>
    <w:rsid w:val="00BB432D"/>
    <w:rsid w:val="00BB699F"/>
    <w:rsid w:val="00BB7724"/>
    <w:rsid w:val="00BB7903"/>
    <w:rsid w:val="00BC0413"/>
    <w:rsid w:val="00BC1063"/>
    <w:rsid w:val="00BC11E6"/>
    <w:rsid w:val="00BC2300"/>
    <w:rsid w:val="00BC250E"/>
    <w:rsid w:val="00BC35FF"/>
    <w:rsid w:val="00BC46C8"/>
    <w:rsid w:val="00BC5390"/>
    <w:rsid w:val="00BC5A2D"/>
    <w:rsid w:val="00BC5E29"/>
    <w:rsid w:val="00BC6792"/>
    <w:rsid w:val="00BC6A55"/>
    <w:rsid w:val="00BC6D29"/>
    <w:rsid w:val="00BC6D68"/>
    <w:rsid w:val="00BC6D7F"/>
    <w:rsid w:val="00BC71B3"/>
    <w:rsid w:val="00BC7D98"/>
    <w:rsid w:val="00BD01EE"/>
    <w:rsid w:val="00BD055C"/>
    <w:rsid w:val="00BD1249"/>
    <w:rsid w:val="00BD133D"/>
    <w:rsid w:val="00BD1570"/>
    <w:rsid w:val="00BD1C60"/>
    <w:rsid w:val="00BD1D92"/>
    <w:rsid w:val="00BD26DF"/>
    <w:rsid w:val="00BD35A4"/>
    <w:rsid w:val="00BD41B8"/>
    <w:rsid w:val="00BD5171"/>
    <w:rsid w:val="00BD5453"/>
    <w:rsid w:val="00BD6423"/>
    <w:rsid w:val="00BD6B8F"/>
    <w:rsid w:val="00BD70C5"/>
    <w:rsid w:val="00BD73C4"/>
    <w:rsid w:val="00BE017D"/>
    <w:rsid w:val="00BE0501"/>
    <w:rsid w:val="00BE105D"/>
    <w:rsid w:val="00BE164E"/>
    <w:rsid w:val="00BE1DE4"/>
    <w:rsid w:val="00BE24CF"/>
    <w:rsid w:val="00BE3412"/>
    <w:rsid w:val="00BE3899"/>
    <w:rsid w:val="00BE3F80"/>
    <w:rsid w:val="00BE45E2"/>
    <w:rsid w:val="00BE46C8"/>
    <w:rsid w:val="00BE4BF4"/>
    <w:rsid w:val="00BE4C72"/>
    <w:rsid w:val="00BE552C"/>
    <w:rsid w:val="00BF0B0D"/>
    <w:rsid w:val="00BF1190"/>
    <w:rsid w:val="00BF1C1D"/>
    <w:rsid w:val="00BF2050"/>
    <w:rsid w:val="00BF4334"/>
    <w:rsid w:val="00BF762E"/>
    <w:rsid w:val="00BF7B24"/>
    <w:rsid w:val="00C00E5C"/>
    <w:rsid w:val="00C011AD"/>
    <w:rsid w:val="00C01B4B"/>
    <w:rsid w:val="00C028E9"/>
    <w:rsid w:val="00C02B38"/>
    <w:rsid w:val="00C03DB4"/>
    <w:rsid w:val="00C051CB"/>
    <w:rsid w:val="00C05345"/>
    <w:rsid w:val="00C06329"/>
    <w:rsid w:val="00C06E60"/>
    <w:rsid w:val="00C0C2BC"/>
    <w:rsid w:val="00C1000A"/>
    <w:rsid w:val="00C10513"/>
    <w:rsid w:val="00C105B1"/>
    <w:rsid w:val="00C107B1"/>
    <w:rsid w:val="00C10BAE"/>
    <w:rsid w:val="00C1107D"/>
    <w:rsid w:val="00C1187A"/>
    <w:rsid w:val="00C11DCE"/>
    <w:rsid w:val="00C12D8C"/>
    <w:rsid w:val="00C13DE8"/>
    <w:rsid w:val="00C143AF"/>
    <w:rsid w:val="00C155E5"/>
    <w:rsid w:val="00C16DB2"/>
    <w:rsid w:val="00C20014"/>
    <w:rsid w:val="00C22D1C"/>
    <w:rsid w:val="00C2315D"/>
    <w:rsid w:val="00C2332F"/>
    <w:rsid w:val="00C2496D"/>
    <w:rsid w:val="00C326BF"/>
    <w:rsid w:val="00C32C4A"/>
    <w:rsid w:val="00C34651"/>
    <w:rsid w:val="00C35E57"/>
    <w:rsid w:val="00C36565"/>
    <w:rsid w:val="00C400F8"/>
    <w:rsid w:val="00C40FBF"/>
    <w:rsid w:val="00C41E30"/>
    <w:rsid w:val="00C42345"/>
    <w:rsid w:val="00C424C0"/>
    <w:rsid w:val="00C42715"/>
    <w:rsid w:val="00C4301B"/>
    <w:rsid w:val="00C436A7"/>
    <w:rsid w:val="00C4436F"/>
    <w:rsid w:val="00C44611"/>
    <w:rsid w:val="00C44CDD"/>
    <w:rsid w:val="00C450F5"/>
    <w:rsid w:val="00C46C23"/>
    <w:rsid w:val="00C4706D"/>
    <w:rsid w:val="00C5007D"/>
    <w:rsid w:val="00C50D17"/>
    <w:rsid w:val="00C51750"/>
    <w:rsid w:val="00C5182B"/>
    <w:rsid w:val="00C54211"/>
    <w:rsid w:val="00C5425A"/>
    <w:rsid w:val="00C550EE"/>
    <w:rsid w:val="00C55390"/>
    <w:rsid w:val="00C55C57"/>
    <w:rsid w:val="00C55F94"/>
    <w:rsid w:val="00C56681"/>
    <w:rsid w:val="00C57400"/>
    <w:rsid w:val="00C57615"/>
    <w:rsid w:val="00C5782C"/>
    <w:rsid w:val="00C5831C"/>
    <w:rsid w:val="00C60737"/>
    <w:rsid w:val="00C615EE"/>
    <w:rsid w:val="00C61872"/>
    <w:rsid w:val="00C62077"/>
    <w:rsid w:val="00C62C2F"/>
    <w:rsid w:val="00C63659"/>
    <w:rsid w:val="00C63A74"/>
    <w:rsid w:val="00C63A99"/>
    <w:rsid w:val="00C63B8E"/>
    <w:rsid w:val="00C64DDC"/>
    <w:rsid w:val="00C65EA7"/>
    <w:rsid w:val="00C66216"/>
    <w:rsid w:val="00C662F0"/>
    <w:rsid w:val="00C66E90"/>
    <w:rsid w:val="00C6745D"/>
    <w:rsid w:val="00C67E29"/>
    <w:rsid w:val="00C70ACE"/>
    <w:rsid w:val="00C71FC2"/>
    <w:rsid w:val="00C73880"/>
    <w:rsid w:val="00C73C6B"/>
    <w:rsid w:val="00C73D54"/>
    <w:rsid w:val="00C73EF1"/>
    <w:rsid w:val="00C745DE"/>
    <w:rsid w:val="00C7585F"/>
    <w:rsid w:val="00C75E2A"/>
    <w:rsid w:val="00C760AC"/>
    <w:rsid w:val="00C762B3"/>
    <w:rsid w:val="00C78332"/>
    <w:rsid w:val="00C80074"/>
    <w:rsid w:val="00C81677"/>
    <w:rsid w:val="00C818DD"/>
    <w:rsid w:val="00C82026"/>
    <w:rsid w:val="00C82DAF"/>
    <w:rsid w:val="00C846F1"/>
    <w:rsid w:val="00C854CA"/>
    <w:rsid w:val="00C85D83"/>
    <w:rsid w:val="00C85EDC"/>
    <w:rsid w:val="00C85F55"/>
    <w:rsid w:val="00C86AB9"/>
    <w:rsid w:val="00C877E6"/>
    <w:rsid w:val="00C901D7"/>
    <w:rsid w:val="00C9114B"/>
    <w:rsid w:val="00C912C1"/>
    <w:rsid w:val="00C9163F"/>
    <w:rsid w:val="00C9197F"/>
    <w:rsid w:val="00C934E9"/>
    <w:rsid w:val="00C938AC"/>
    <w:rsid w:val="00C94512"/>
    <w:rsid w:val="00C968FD"/>
    <w:rsid w:val="00CA18B7"/>
    <w:rsid w:val="00CA280A"/>
    <w:rsid w:val="00CA38EC"/>
    <w:rsid w:val="00CA3978"/>
    <w:rsid w:val="00CA3D30"/>
    <w:rsid w:val="00CA5162"/>
    <w:rsid w:val="00CA526C"/>
    <w:rsid w:val="00CA565D"/>
    <w:rsid w:val="00CA56F0"/>
    <w:rsid w:val="00CA6331"/>
    <w:rsid w:val="00CA67BE"/>
    <w:rsid w:val="00CA7623"/>
    <w:rsid w:val="00CB066A"/>
    <w:rsid w:val="00CB140A"/>
    <w:rsid w:val="00CB1825"/>
    <w:rsid w:val="00CB195E"/>
    <w:rsid w:val="00CB1C9A"/>
    <w:rsid w:val="00CB2B12"/>
    <w:rsid w:val="00CB5667"/>
    <w:rsid w:val="00CB586F"/>
    <w:rsid w:val="00CB5BD5"/>
    <w:rsid w:val="00CB69AE"/>
    <w:rsid w:val="00CB6CE8"/>
    <w:rsid w:val="00CB7664"/>
    <w:rsid w:val="00CB7C5A"/>
    <w:rsid w:val="00CC250C"/>
    <w:rsid w:val="00CC290D"/>
    <w:rsid w:val="00CC3288"/>
    <w:rsid w:val="00CC4ED5"/>
    <w:rsid w:val="00CC6141"/>
    <w:rsid w:val="00CC72FD"/>
    <w:rsid w:val="00CC7A06"/>
    <w:rsid w:val="00CD000E"/>
    <w:rsid w:val="00CD00F7"/>
    <w:rsid w:val="00CD08E0"/>
    <w:rsid w:val="00CD0D8C"/>
    <w:rsid w:val="00CD1BEA"/>
    <w:rsid w:val="00CD1EB0"/>
    <w:rsid w:val="00CD3044"/>
    <w:rsid w:val="00CD31A4"/>
    <w:rsid w:val="00CD3AB0"/>
    <w:rsid w:val="00CD3C97"/>
    <w:rsid w:val="00CD6A68"/>
    <w:rsid w:val="00CD72A2"/>
    <w:rsid w:val="00CE1FFD"/>
    <w:rsid w:val="00CE2468"/>
    <w:rsid w:val="00CE260F"/>
    <w:rsid w:val="00CE2902"/>
    <w:rsid w:val="00CE2AC4"/>
    <w:rsid w:val="00CE2F24"/>
    <w:rsid w:val="00CE4B9C"/>
    <w:rsid w:val="00CE56C3"/>
    <w:rsid w:val="00CF0047"/>
    <w:rsid w:val="00CF0828"/>
    <w:rsid w:val="00CF0971"/>
    <w:rsid w:val="00CF3447"/>
    <w:rsid w:val="00CF3E6E"/>
    <w:rsid w:val="00CF4862"/>
    <w:rsid w:val="00CF557E"/>
    <w:rsid w:val="00CF6844"/>
    <w:rsid w:val="00CF6911"/>
    <w:rsid w:val="00CF7783"/>
    <w:rsid w:val="00D0001B"/>
    <w:rsid w:val="00D008CD"/>
    <w:rsid w:val="00D01111"/>
    <w:rsid w:val="00D01CCE"/>
    <w:rsid w:val="00D027D5"/>
    <w:rsid w:val="00D02D51"/>
    <w:rsid w:val="00D02EB4"/>
    <w:rsid w:val="00D030B4"/>
    <w:rsid w:val="00D03222"/>
    <w:rsid w:val="00D03234"/>
    <w:rsid w:val="00D062FF"/>
    <w:rsid w:val="00D06904"/>
    <w:rsid w:val="00D06B56"/>
    <w:rsid w:val="00D06CBA"/>
    <w:rsid w:val="00D0AC53"/>
    <w:rsid w:val="00D10311"/>
    <w:rsid w:val="00D1045D"/>
    <w:rsid w:val="00D1071A"/>
    <w:rsid w:val="00D10B5A"/>
    <w:rsid w:val="00D12D83"/>
    <w:rsid w:val="00D14620"/>
    <w:rsid w:val="00D14DB5"/>
    <w:rsid w:val="00D15A13"/>
    <w:rsid w:val="00D15A71"/>
    <w:rsid w:val="00D17803"/>
    <w:rsid w:val="00D179A1"/>
    <w:rsid w:val="00D2025B"/>
    <w:rsid w:val="00D20749"/>
    <w:rsid w:val="00D22B9D"/>
    <w:rsid w:val="00D233DE"/>
    <w:rsid w:val="00D236F9"/>
    <w:rsid w:val="00D23CC1"/>
    <w:rsid w:val="00D247CF"/>
    <w:rsid w:val="00D25992"/>
    <w:rsid w:val="00D25E22"/>
    <w:rsid w:val="00D260A4"/>
    <w:rsid w:val="00D26E89"/>
    <w:rsid w:val="00D275F7"/>
    <w:rsid w:val="00D30142"/>
    <w:rsid w:val="00D30C62"/>
    <w:rsid w:val="00D31516"/>
    <w:rsid w:val="00D31E24"/>
    <w:rsid w:val="00D32BFF"/>
    <w:rsid w:val="00D33C8E"/>
    <w:rsid w:val="00D3402D"/>
    <w:rsid w:val="00D348A7"/>
    <w:rsid w:val="00D37830"/>
    <w:rsid w:val="00D37B01"/>
    <w:rsid w:val="00D4089E"/>
    <w:rsid w:val="00D41187"/>
    <w:rsid w:val="00D415C8"/>
    <w:rsid w:val="00D41D02"/>
    <w:rsid w:val="00D430BD"/>
    <w:rsid w:val="00D43DC3"/>
    <w:rsid w:val="00D4492C"/>
    <w:rsid w:val="00D44C7C"/>
    <w:rsid w:val="00D44EFF"/>
    <w:rsid w:val="00D479EB"/>
    <w:rsid w:val="00D47C04"/>
    <w:rsid w:val="00D47E38"/>
    <w:rsid w:val="00D49805"/>
    <w:rsid w:val="00D50C26"/>
    <w:rsid w:val="00D51709"/>
    <w:rsid w:val="00D51B04"/>
    <w:rsid w:val="00D52494"/>
    <w:rsid w:val="00D52752"/>
    <w:rsid w:val="00D53DAB"/>
    <w:rsid w:val="00D53E45"/>
    <w:rsid w:val="00D541B2"/>
    <w:rsid w:val="00D5475A"/>
    <w:rsid w:val="00D54804"/>
    <w:rsid w:val="00D553D5"/>
    <w:rsid w:val="00D55B05"/>
    <w:rsid w:val="00D574A5"/>
    <w:rsid w:val="00D57FE9"/>
    <w:rsid w:val="00D62C50"/>
    <w:rsid w:val="00D62D5B"/>
    <w:rsid w:val="00D63BE6"/>
    <w:rsid w:val="00D63EF3"/>
    <w:rsid w:val="00D65105"/>
    <w:rsid w:val="00D657D2"/>
    <w:rsid w:val="00D66720"/>
    <w:rsid w:val="00D67220"/>
    <w:rsid w:val="00D6742C"/>
    <w:rsid w:val="00D67867"/>
    <w:rsid w:val="00D679F0"/>
    <w:rsid w:val="00D67B17"/>
    <w:rsid w:val="00D70253"/>
    <w:rsid w:val="00D70467"/>
    <w:rsid w:val="00D706D7"/>
    <w:rsid w:val="00D71323"/>
    <w:rsid w:val="00D718A2"/>
    <w:rsid w:val="00D71B08"/>
    <w:rsid w:val="00D71B2C"/>
    <w:rsid w:val="00D720BF"/>
    <w:rsid w:val="00D721A8"/>
    <w:rsid w:val="00D72541"/>
    <w:rsid w:val="00D72E18"/>
    <w:rsid w:val="00D739CD"/>
    <w:rsid w:val="00D73E8A"/>
    <w:rsid w:val="00D741AE"/>
    <w:rsid w:val="00D779B6"/>
    <w:rsid w:val="00D77D7E"/>
    <w:rsid w:val="00D77F35"/>
    <w:rsid w:val="00D81135"/>
    <w:rsid w:val="00D811D9"/>
    <w:rsid w:val="00D81BA5"/>
    <w:rsid w:val="00D82409"/>
    <w:rsid w:val="00D8326F"/>
    <w:rsid w:val="00D84A1F"/>
    <w:rsid w:val="00D84B65"/>
    <w:rsid w:val="00D8640D"/>
    <w:rsid w:val="00D86A9E"/>
    <w:rsid w:val="00D870C7"/>
    <w:rsid w:val="00D900CF"/>
    <w:rsid w:val="00D90CE3"/>
    <w:rsid w:val="00D90F14"/>
    <w:rsid w:val="00D91046"/>
    <w:rsid w:val="00D917C3"/>
    <w:rsid w:val="00D918CC"/>
    <w:rsid w:val="00D9212F"/>
    <w:rsid w:val="00D930FD"/>
    <w:rsid w:val="00D93D9D"/>
    <w:rsid w:val="00D952A8"/>
    <w:rsid w:val="00D952A9"/>
    <w:rsid w:val="00D95773"/>
    <w:rsid w:val="00D95DE0"/>
    <w:rsid w:val="00D96025"/>
    <w:rsid w:val="00D9690A"/>
    <w:rsid w:val="00D97B15"/>
    <w:rsid w:val="00D97CE6"/>
    <w:rsid w:val="00DA0557"/>
    <w:rsid w:val="00DA0919"/>
    <w:rsid w:val="00DA135B"/>
    <w:rsid w:val="00DA1409"/>
    <w:rsid w:val="00DA1BEA"/>
    <w:rsid w:val="00DA22D7"/>
    <w:rsid w:val="00DA2663"/>
    <w:rsid w:val="00DA29AD"/>
    <w:rsid w:val="00DA3344"/>
    <w:rsid w:val="00DA430B"/>
    <w:rsid w:val="00DA482D"/>
    <w:rsid w:val="00DA48E1"/>
    <w:rsid w:val="00DA50B5"/>
    <w:rsid w:val="00DA5C77"/>
    <w:rsid w:val="00DA5FEC"/>
    <w:rsid w:val="00DA6BD4"/>
    <w:rsid w:val="00DA6D84"/>
    <w:rsid w:val="00DA7B1C"/>
    <w:rsid w:val="00DA7B43"/>
    <w:rsid w:val="00DAE399"/>
    <w:rsid w:val="00DB03E6"/>
    <w:rsid w:val="00DB25FD"/>
    <w:rsid w:val="00DB3F41"/>
    <w:rsid w:val="00DB436F"/>
    <w:rsid w:val="00DB44E7"/>
    <w:rsid w:val="00DB4838"/>
    <w:rsid w:val="00DB6449"/>
    <w:rsid w:val="00DC0423"/>
    <w:rsid w:val="00DC366C"/>
    <w:rsid w:val="00DC3DCC"/>
    <w:rsid w:val="00DC54F3"/>
    <w:rsid w:val="00DC5A96"/>
    <w:rsid w:val="00DC5CB4"/>
    <w:rsid w:val="00DC6A8B"/>
    <w:rsid w:val="00DC74FB"/>
    <w:rsid w:val="00DC76FD"/>
    <w:rsid w:val="00DC7A69"/>
    <w:rsid w:val="00DC7FB1"/>
    <w:rsid w:val="00DD111C"/>
    <w:rsid w:val="00DD26E7"/>
    <w:rsid w:val="00DD2847"/>
    <w:rsid w:val="00DD30A1"/>
    <w:rsid w:val="00DD377A"/>
    <w:rsid w:val="00DD417F"/>
    <w:rsid w:val="00DD454A"/>
    <w:rsid w:val="00DD4B3D"/>
    <w:rsid w:val="00DD5106"/>
    <w:rsid w:val="00DD59EE"/>
    <w:rsid w:val="00DD59FD"/>
    <w:rsid w:val="00DD60D6"/>
    <w:rsid w:val="00DD61C5"/>
    <w:rsid w:val="00DD7415"/>
    <w:rsid w:val="00DE2A8A"/>
    <w:rsid w:val="00DE39DE"/>
    <w:rsid w:val="00DE41FA"/>
    <w:rsid w:val="00DE4AA7"/>
    <w:rsid w:val="00DE4DC4"/>
    <w:rsid w:val="00DE4FE8"/>
    <w:rsid w:val="00DE537C"/>
    <w:rsid w:val="00DE7C06"/>
    <w:rsid w:val="00DF023F"/>
    <w:rsid w:val="00DF0609"/>
    <w:rsid w:val="00DF0712"/>
    <w:rsid w:val="00DF25C7"/>
    <w:rsid w:val="00DF2C1E"/>
    <w:rsid w:val="00DF2D9D"/>
    <w:rsid w:val="00DF588F"/>
    <w:rsid w:val="00DF5E25"/>
    <w:rsid w:val="00DF6252"/>
    <w:rsid w:val="00DF6968"/>
    <w:rsid w:val="00E01EAF"/>
    <w:rsid w:val="00E036B1"/>
    <w:rsid w:val="00E0372D"/>
    <w:rsid w:val="00E04F7F"/>
    <w:rsid w:val="00E055DC"/>
    <w:rsid w:val="00E100C0"/>
    <w:rsid w:val="00E1228F"/>
    <w:rsid w:val="00E12313"/>
    <w:rsid w:val="00E13F3D"/>
    <w:rsid w:val="00E1413D"/>
    <w:rsid w:val="00E14710"/>
    <w:rsid w:val="00E1519E"/>
    <w:rsid w:val="00E1592D"/>
    <w:rsid w:val="00E16326"/>
    <w:rsid w:val="00E1693B"/>
    <w:rsid w:val="00E17711"/>
    <w:rsid w:val="00E20138"/>
    <w:rsid w:val="00E20313"/>
    <w:rsid w:val="00E204A6"/>
    <w:rsid w:val="00E20710"/>
    <w:rsid w:val="00E21A12"/>
    <w:rsid w:val="00E2204C"/>
    <w:rsid w:val="00E22E6D"/>
    <w:rsid w:val="00E22FFB"/>
    <w:rsid w:val="00E23070"/>
    <w:rsid w:val="00E24249"/>
    <w:rsid w:val="00E24CA6"/>
    <w:rsid w:val="00E24E76"/>
    <w:rsid w:val="00E25FAB"/>
    <w:rsid w:val="00E26939"/>
    <w:rsid w:val="00E27A7B"/>
    <w:rsid w:val="00E27AC0"/>
    <w:rsid w:val="00E30FF5"/>
    <w:rsid w:val="00E314D8"/>
    <w:rsid w:val="00E31F58"/>
    <w:rsid w:val="00E3294B"/>
    <w:rsid w:val="00E334DA"/>
    <w:rsid w:val="00E33A31"/>
    <w:rsid w:val="00E33E2E"/>
    <w:rsid w:val="00E35866"/>
    <w:rsid w:val="00E36A29"/>
    <w:rsid w:val="00E37A39"/>
    <w:rsid w:val="00E40EA2"/>
    <w:rsid w:val="00E413CE"/>
    <w:rsid w:val="00E41AB9"/>
    <w:rsid w:val="00E41F99"/>
    <w:rsid w:val="00E434E6"/>
    <w:rsid w:val="00E43839"/>
    <w:rsid w:val="00E43BD5"/>
    <w:rsid w:val="00E441E5"/>
    <w:rsid w:val="00E450E5"/>
    <w:rsid w:val="00E46791"/>
    <w:rsid w:val="00E50818"/>
    <w:rsid w:val="00E50876"/>
    <w:rsid w:val="00E50FF7"/>
    <w:rsid w:val="00E51704"/>
    <w:rsid w:val="00E51850"/>
    <w:rsid w:val="00E5237A"/>
    <w:rsid w:val="00E52FC2"/>
    <w:rsid w:val="00E54A87"/>
    <w:rsid w:val="00E5510C"/>
    <w:rsid w:val="00E551B8"/>
    <w:rsid w:val="00E559C4"/>
    <w:rsid w:val="00E5618F"/>
    <w:rsid w:val="00E56332"/>
    <w:rsid w:val="00E56D6F"/>
    <w:rsid w:val="00E57703"/>
    <w:rsid w:val="00E578C8"/>
    <w:rsid w:val="00E61538"/>
    <w:rsid w:val="00E621A6"/>
    <w:rsid w:val="00E62D29"/>
    <w:rsid w:val="00E62E04"/>
    <w:rsid w:val="00E62F1E"/>
    <w:rsid w:val="00E6386B"/>
    <w:rsid w:val="00E67E3B"/>
    <w:rsid w:val="00E711EA"/>
    <w:rsid w:val="00E71FAF"/>
    <w:rsid w:val="00E7259D"/>
    <w:rsid w:val="00E72950"/>
    <w:rsid w:val="00E72D0D"/>
    <w:rsid w:val="00E74038"/>
    <w:rsid w:val="00E7417D"/>
    <w:rsid w:val="00E75330"/>
    <w:rsid w:val="00E76E1D"/>
    <w:rsid w:val="00E772C4"/>
    <w:rsid w:val="00E80A35"/>
    <w:rsid w:val="00E80E2B"/>
    <w:rsid w:val="00E8146B"/>
    <w:rsid w:val="00E82247"/>
    <w:rsid w:val="00E82BCD"/>
    <w:rsid w:val="00E844AF"/>
    <w:rsid w:val="00E845E3"/>
    <w:rsid w:val="00E84E2A"/>
    <w:rsid w:val="00E8597B"/>
    <w:rsid w:val="00E8641E"/>
    <w:rsid w:val="00E86427"/>
    <w:rsid w:val="00E86F8E"/>
    <w:rsid w:val="00E903D6"/>
    <w:rsid w:val="00E9079B"/>
    <w:rsid w:val="00E9151E"/>
    <w:rsid w:val="00E91B16"/>
    <w:rsid w:val="00E91C6F"/>
    <w:rsid w:val="00E91EE5"/>
    <w:rsid w:val="00E92E59"/>
    <w:rsid w:val="00E934C6"/>
    <w:rsid w:val="00E95246"/>
    <w:rsid w:val="00E95298"/>
    <w:rsid w:val="00E962EC"/>
    <w:rsid w:val="00E963D9"/>
    <w:rsid w:val="00E96584"/>
    <w:rsid w:val="00E96649"/>
    <w:rsid w:val="00E9792B"/>
    <w:rsid w:val="00E97DE4"/>
    <w:rsid w:val="00EA0B45"/>
    <w:rsid w:val="00EA10E9"/>
    <w:rsid w:val="00EA2CD8"/>
    <w:rsid w:val="00EA3B9C"/>
    <w:rsid w:val="00EA3E2C"/>
    <w:rsid w:val="00EA5B56"/>
    <w:rsid w:val="00EA5E93"/>
    <w:rsid w:val="00EA61A7"/>
    <w:rsid w:val="00EA6A3D"/>
    <w:rsid w:val="00EA7CCF"/>
    <w:rsid w:val="00EB092A"/>
    <w:rsid w:val="00EB0AA4"/>
    <w:rsid w:val="00EB113D"/>
    <w:rsid w:val="00EB11CF"/>
    <w:rsid w:val="00EB186A"/>
    <w:rsid w:val="00EB25C3"/>
    <w:rsid w:val="00EB2BB0"/>
    <w:rsid w:val="00EB3C2E"/>
    <w:rsid w:val="00EB45C5"/>
    <w:rsid w:val="00EB4B03"/>
    <w:rsid w:val="00EB5B50"/>
    <w:rsid w:val="00EB7D99"/>
    <w:rsid w:val="00EC0ED3"/>
    <w:rsid w:val="00EC0FF0"/>
    <w:rsid w:val="00EC1487"/>
    <w:rsid w:val="00EC2D06"/>
    <w:rsid w:val="00EC2E9A"/>
    <w:rsid w:val="00EC32D5"/>
    <w:rsid w:val="00EC37DE"/>
    <w:rsid w:val="00EC3A03"/>
    <w:rsid w:val="00EC6009"/>
    <w:rsid w:val="00EC60A4"/>
    <w:rsid w:val="00EC674A"/>
    <w:rsid w:val="00EC6F29"/>
    <w:rsid w:val="00EC709D"/>
    <w:rsid w:val="00EC7EAB"/>
    <w:rsid w:val="00ED09A6"/>
    <w:rsid w:val="00ED0D24"/>
    <w:rsid w:val="00ED0E16"/>
    <w:rsid w:val="00ED0F38"/>
    <w:rsid w:val="00ED16B6"/>
    <w:rsid w:val="00ED45A0"/>
    <w:rsid w:val="00ED54D6"/>
    <w:rsid w:val="00ED5F6B"/>
    <w:rsid w:val="00ED66F8"/>
    <w:rsid w:val="00ED6945"/>
    <w:rsid w:val="00ED7D31"/>
    <w:rsid w:val="00EE0409"/>
    <w:rsid w:val="00EE0D4C"/>
    <w:rsid w:val="00EE1A7D"/>
    <w:rsid w:val="00EE2672"/>
    <w:rsid w:val="00EE2DC0"/>
    <w:rsid w:val="00EE2EF5"/>
    <w:rsid w:val="00EE349F"/>
    <w:rsid w:val="00EE3623"/>
    <w:rsid w:val="00EE3C72"/>
    <w:rsid w:val="00EE414C"/>
    <w:rsid w:val="00EE44F5"/>
    <w:rsid w:val="00EE4C8C"/>
    <w:rsid w:val="00EE54E9"/>
    <w:rsid w:val="00EE5C23"/>
    <w:rsid w:val="00EE69FF"/>
    <w:rsid w:val="00EE6EE1"/>
    <w:rsid w:val="00EE73E8"/>
    <w:rsid w:val="00EF108A"/>
    <w:rsid w:val="00EF2AFE"/>
    <w:rsid w:val="00EF34D9"/>
    <w:rsid w:val="00EF3C8D"/>
    <w:rsid w:val="00EF3FE1"/>
    <w:rsid w:val="00EF59C0"/>
    <w:rsid w:val="00EF59C4"/>
    <w:rsid w:val="00EF5B11"/>
    <w:rsid w:val="00EF6429"/>
    <w:rsid w:val="00EF64E2"/>
    <w:rsid w:val="00EF7567"/>
    <w:rsid w:val="00EF7AB2"/>
    <w:rsid w:val="00F02E7D"/>
    <w:rsid w:val="00F030D0"/>
    <w:rsid w:val="00F0470E"/>
    <w:rsid w:val="00F06C13"/>
    <w:rsid w:val="00F06CCA"/>
    <w:rsid w:val="00F06EF2"/>
    <w:rsid w:val="00F078B0"/>
    <w:rsid w:val="00F104E1"/>
    <w:rsid w:val="00F10C3D"/>
    <w:rsid w:val="00F10EB8"/>
    <w:rsid w:val="00F11EF3"/>
    <w:rsid w:val="00F12556"/>
    <w:rsid w:val="00F12AC1"/>
    <w:rsid w:val="00F12FE8"/>
    <w:rsid w:val="00F13762"/>
    <w:rsid w:val="00F13A3A"/>
    <w:rsid w:val="00F144C8"/>
    <w:rsid w:val="00F15459"/>
    <w:rsid w:val="00F163E4"/>
    <w:rsid w:val="00F17143"/>
    <w:rsid w:val="00F20888"/>
    <w:rsid w:val="00F215A3"/>
    <w:rsid w:val="00F224E1"/>
    <w:rsid w:val="00F22E99"/>
    <w:rsid w:val="00F237DB"/>
    <w:rsid w:val="00F2393A"/>
    <w:rsid w:val="00F23B14"/>
    <w:rsid w:val="00F24EEB"/>
    <w:rsid w:val="00F26164"/>
    <w:rsid w:val="00F301B1"/>
    <w:rsid w:val="00F30D7C"/>
    <w:rsid w:val="00F322A5"/>
    <w:rsid w:val="00F33C7A"/>
    <w:rsid w:val="00F33C9E"/>
    <w:rsid w:val="00F34392"/>
    <w:rsid w:val="00F34979"/>
    <w:rsid w:val="00F357AF"/>
    <w:rsid w:val="00F36BC7"/>
    <w:rsid w:val="00F40140"/>
    <w:rsid w:val="00F42E83"/>
    <w:rsid w:val="00F45BF0"/>
    <w:rsid w:val="00F462AF"/>
    <w:rsid w:val="00F467B2"/>
    <w:rsid w:val="00F467F8"/>
    <w:rsid w:val="00F50337"/>
    <w:rsid w:val="00F51038"/>
    <w:rsid w:val="00F51A42"/>
    <w:rsid w:val="00F5302B"/>
    <w:rsid w:val="00F5424A"/>
    <w:rsid w:val="00F54256"/>
    <w:rsid w:val="00F543AD"/>
    <w:rsid w:val="00F555AD"/>
    <w:rsid w:val="00F55DE2"/>
    <w:rsid w:val="00F566FA"/>
    <w:rsid w:val="00F5735D"/>
    <w:rsid w:val="00F57586"/>
    <w:rsid w:val="00F60356"/>
    <w:rsid w:val="00F6083C"/>
    <w:rsid w:val="00F608CE"/>
    <w:rsid w:val="00F61210"/>
    <w:rsid w:val="00F616AD"/>
    <w:rsid w:val="00F6283E"/>
    <w:rsid w:val="00F64010"/>
    <w:rsid w:val="00F64A23"/>
    <w:rsid w:val="00F65050"/>
    <w:rsid w:val="00F6505E"/>
    <w:rsid w:val="00F6612D"/>
    <w:rsid w:val="00F66D09"/>
    <w:rsid w:val="00F66E33"/>
    <w:rsid w:val="00F67635"/>
    <w:rsid w:val="00F70257"/>
    <w:rsid w:val="00F738A9"/>
    <w:rsid w:val="00F73A0E"/>
    <w:rsid w:val="00F73EB3"/>
    <w:rsid w:val="00F74177"/>
    <w:rsid w:val="00F743EA"/>
    <w:rsid w:val="00F747E9"/>
    <w:rsid w:val="00F7629B"/>
    <w:rsid w:val="00F77867"/>
    <w:rsid w:val="00F77959"/>
    <w:rsid w:val="00F77DA9"/>
    <w:rsid w:val="00F8130D"/>
    <w:rsid w:val="00F81661"/>
    <w:rsid w:val="00F82F57"/>
    <w:rsid w:val="00F8363C"/>
    <w:rsid w:val="00F845EA"/>
    <w:rsid w:val="00F84797"/>
    <w:rsid w:val="00F84A45"/>
    <w:rsid w:val="00F84FD8"/>
    <w:rsid w:val="00F8547B"/>
    <w:rsid w:val="00F873D8"/>
    <w:rsid w:val="00F874DE"/>
    <w:rsid w:val="00F908CD"/>
    <w:rsid w:val="00F90BE5"/>
    <w:rsid w:val="00F92EF4"/>
    <w:rsid w:val="00F93F52"/>
    <w:rsid w:val="00F9407B"/>
    <w:rsid w:val="00F94193"/>
    <w:rsid w:val="00F944D5"/>
    <w:rsid w:val="00F951E0"/>
    <w:rsid w:val="00F952DD"/>
    <w:rsid w:val="00F955BB"/>
    <w:rsid w:val="00F95CD9"/>
    <w:rsid w:val="00F968D4"/>
    <w:rsid w:val="00F96C14"/>
    <w:rsid w:val="00F96EE5"/>
    <w:rsid w:val="00F97317"/>
    <w:rsid w:val="00F979D6"/>
    <w:rsid w:val="00F97A73"/>
    <w:rsid w:val="00F980BA"/>
    <w:rsid w:val="00FA16BD"/>
    <w:rsid w:val="00FA1811"/>
    <w:rsid w:val="00FA1D0C"/>
    <w:rsid w:val="00FA4B0B"/>
    <w:rsid w:val="00FA5A44"/>
    <w:rsid w:val="00FA63BA"/>
    <w:rsid w:val="00FA7EF6"/>
    <w:rsid w:val="00FB0DD5"/>
    <w:rsid w:val="00FB1D8B"/>
    <w:rsid w:val="00FB24B1"/>
    <w:rsid w:val="00FB2756"/>
    <w:rsid w:val="00FB2D77"/>
    <w:rsid w:val="00FB36E0"/>
    <w:rsid w:val="00FB59D8"/>
    <w:rsid w:val="00FB5A9A"/>
    <w:rsid w:val="00FB6224"/>
    <w:rsid w:val="00FB6DEE"/>
    <w:rsid w:val="00FC144F"/>
    <w:rsid w:val="00FC2001"/>
    <w:rsid w:val="00FC2F56"/>
    <w:rsid w:val="00FC3F0A"/>
    <w:rsid w:val="00FC7922"/>
    <w:rsid w:val="00FC7F7E"/>
    <w:rsid w:val="00FD06FD"/>
    <w:rsid w:val="00FD076B"/>
    <w:rsid w:val="00FD07A0"/>
    <w:rsid w:val="00FD0945"/>
    <w:rsid w:val="00FD225D"/>
    <w:rsid w:val="00FD3824"/>
    <w:rsid w:val="00FD4DA6"/>
    <w:rsid w:val="00FD4E4A"/>
    <w:rsid w:val="00FD4EEF"/>
    <w:rsid w:val="00FD4F7E"/>
    <w:rsid w:val="00FD6465"/>
    <w:rsid w:val="00FD6CB7"/>
    <w:rsid w:val="00FE00B9"/>
    <w:rsid w:val="00FE0ABA"/>
    <w:rsid w:val="00FE0D0B"/>
    <w:rsid w:val="00FE0D45"/>
    <w:rsid w:val="00FE20D3"/>
    <w:rsid w:val="00FE2355"/>
    <w:rsid w:val="00FE266B"/>
    <w:rsid w:val="00FE38F2"/>
    <w:rsid w:val="00FE416D"/>
    <w:rsid w:val="00FE6542"/>
    <w:rsid w:val="00FE6DC3"/>
    <w:rsid w:val="00FE6E66"/>
    <w:rsid w:val="00FE7F19"/>
    <w:rsid w:val="00FF02CB"/>
    <w:rsid w:val="00FF1BF2"/>
    <w:rsid w:val="00FF2A71"/>
    <w:rsid w:val="00FF2F62"/>
    <w:rsid w:val="00FF3FFA"/>
    <w:rsid w:val="00FF4200"/>
    <w:rsid w:val="00FF5126"/>
    <w:rsid w:val="00FF5A29"/>
    <w:rsid w:val="00FF5E31"/>
    <w:rsid w:val="00FF5FB1"/>
    <w:rsid w:val="00FF698B"/>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0EF4"/>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18D4E"/>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1D600"/>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0E95D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38187"/>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6B747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FF45"/>
  <w15:chartTrackingRefBased/>
  <w15:docId w15:val="{86CE4E7C-7308-49D6-9ECD-956D75FC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3FC6"/>
    <w:pPr>
      <w:spacing w:after="240"/>
    </w:pPr>
    <w:rPr>
      <w:rFonts w:ascii="Tahoma" w:hAnsi="Tahoma"/>
      <w:color w:val="414150" w:themeColor="text1"/>
    </w:rPr>
  </w:style>
  <w:style w:type="paragraph" w:styleId="Heading1">
    <w:name w:val="heading 1"/>
    <w:basedOn w:val="Normal"/>
    <w:next w:val="Normal"/>
    <w:link w:val="Heading1Char"/>
    <w:qFormat/>
    <w:rsid w:val="000E1BCD"/>
    <w:pPr>
      <w:keepNext/>
      <w:keepLines/>
      <w:spacing w:line="240" w:lineRule="auto"/>
      <w:contextualSpacing/>
      <w:outlineLvl w:val="0"/>
    </w:pPr>
    <w:rPr>
      <w:rFonts w:eastAsiaTheme="majorEastAsia"/>
      <w:b/>
      <w:color w:val="386641" w:themeColor="accent1"/>
      <w:sz w:val="40"/>
      <w:szCs w:val="40"/>
    </w:rPr>
  </w:style>
  <w:style w:type="paragraph" w:styleId="Heading2">
    <w:name w:val="heading 2"/>
    <w:basedOn w:val="Heading3"/>
    <w:next w:val="Normal"/>
    <w:link w:val="Heading2Char"/>
    <w:uiPriority w:val="1"/>
    <w:qFormat/>
    <w:rsid w:val="000B2A14"/>
    <w:pPr>
      <w:spacing w:before="320"/>
      <w:outlineLvl w:val="1"/>
    </w:pPr>
    <w:rPr>
      <w:color w:val="6A994E" w:themeColor="accent2"/>
      <w:sz w:val="32"/>
    </w:rPr>
  </w:style>
  <w:style w:type="paragraph" w:styleId="Heading3">
    <w:name w:val="heading 3"/>
    <w:basedOn w:val="Heading4"/>
    <w:next w:val="Normal"/>
    <w:link w:val="Heading3Char"/>
    <w:uiPriority w:val="2"/>
    <w:qFormat/>
    <w:rsid w:val="00631C5B"/>
    <w:pPr>
      <w:spacing w:before="280"/>
      <w:outlineLvl w:val="2"/>
    </w:pPr>
    <w:rPr>
      <w:color w:val="414150" w:themeColor="text1"/>
      <w:sz w:val="28"/>
      <w:szCs w:val="24"/>
    </w:rPr>
  </w:style>
  <w:style w:type="paragraph" w:styleId="Heading4">
    <w:name w:val="heading 4"/>
    <w:basedOn w:val="Normal"/>
    <w:next w:val="Normal"/>
    <w:link w:val="Heading4Char"/>
    <w:uiPriority w:val="3"/>
    <w:rsid w:val="009E08E5"/>
    <w:pPr>
      <w:keepNext/>
      <w:keepLines/>
      <w:spacing w:before="160"/>
      <w:outlineLvl w:val="3"/>
    </w:pPr>
    <w:rPr>
      <w:rFonts w:eastAsiaTheme="majorEastAsia" w:cs="Segoe UI"/>
      <w:b/>
      <w:iCs/>
      <w:color w:val="8F2D56" w:themeColor="accent3"/>
      <w:szCs w:val="22"/>
    </w:rPr>
  </w:style>
  <w:style w:type="paragraph" w:styleId="Heading5">
    <w:name w:val="heading 5"/>
    <w:basedOn w:val="Normal"/>
    <w:next w:val="Normal"/>
    <w:link w:val="Heading5Char"/>
    <w:uiPriority w:val="4"/>
    <w:rsid w:val="00B114A1"/>
    <w:pPr>
      <w:keepNext/>
      <w:keepLines/>
      <w:spacing w:before="40" w:after="0"/>
      <w:outlineLvl w:val="4"/>
    </w:pPr>
    <w:rPr>
      <w:rFonts w:eastAsiaTheme="majorEastAsia" w:cstheme="majorBidi"/>
      <w:b/>
      <w:color w:val="17315A"/>
      <w:sz w:val="25"/>
    </w:rPr>
  </w:style>
  <w:style w:type="paragraph" w:styleId="Heading6">
    <w:name w:val="heading 6"/>
    <w:basedOn w:val="Normal"/>
    <w:next w:val="Normal"/>
    <w:link w:val="Heading6Char"/>
    <w:uiPriority w:val="5"/>
    <w:rsid w:val="00A22B06"/>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9"/>
    <w:unhideWhenUsed/>
    <w:rsid w:val="0036576D"/>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BCD"/>
    <w:rPr>
      <w:rFonts w:ascii="Tahoma" w:eastAsiaTheme="majorEastAsia" w:hAnsi="Tahoma" w:cs="Tahoma"/>
      <w:b/>
      <w:color w:val="386641" w:themeColor="accent1"/>
      <w:sz w:val="40"/>
      <w:szCs w:val="40"/>
    </w:rPr>
  </w:style>
  <w:style w:type="character" w:customStyle="1" w:styleId="Heading2Char">
    <w:name w:val="Heading 2 Char"/>
    <w:basedOn w:val="DefaultParagraphFont"/>
    <w:link w:val="Heading2"/>
    <w:uiPriority w:val="1"/>
    <w:rsid w:val="000B2A14"/>
    <w:rPr>
      <w:rFonts w:ascii="Tahoma" w:eastAsiaTheme="majorEastAsia" w:hAnsi="Tahoma" w:cs="Segoe UI"/>
      <w:b/>
      <w:iCs/>
      <w:color w:val="6A994E" w:themeColor="accent2"/>
      <w:sz w:val="32"/>
    </w:rPr>
  </w:style>
  <w:style w:type="character" w:customStyle="1" w:styleId="Heading3Char">
    <w:name w:val="Heading 3 Char"/>
    <w:basedOn w:val="DefaultParagraphFont"/>
    <w:link w:val="Heading3"/>
    <w:uiPriority w:val="2"/>
    <w:rsid w:val="00631C5B"/>
    <w:rPr>
      <w:rFonts w:ascii="Tahoma" w:eastAsiaTheme="majorEastAsia" w:hAnsi="Tahoma" w:cs="Segoe UI"/>
      <w:b/>
      <w:iCs/>
      <w:color w:val="414150" w:themeColor="text1"/>
      <w:sz w:val="28"/>
    </w:rPr>
  </w:style>
  <w:style w:type="character" w:customStyle="1" w:styleId="Heading4Char">
    <w:name w:val="Heading 4 Char"/>
    <w:basedOn w:val="DefaultParagraphFont"/>
    <w:link w:val="Heading4"/>
    <w:uiPriority w:val="3"/>
    <w:rsid w:val="009E08E5"/>
    <w:rPr>
      <w:rFonts w:ascii="Tahoma" w:eastAsiaTheme="majorEastAsia" w:hAnsi="Tahoma" w:cs="Segoe UI"/>
      <w:b/>
      <w:iCs/>
      <w:color w:val="8F2D56" w:themeColor="accent3"/>
      <w:szCs w:val="22"/>
    </w:rPr>
  </w:style>
  <w:style w:type="character" w:customStyle="1" w:styleId="Heading5Char">
    <w:name w:val="Heading 5 Char"/>
    <w:basedOn w:val="DefaultParagraphFont"/>
    <w:link w:val="Heading5"/>
    <w:uiPriority w:val="4"/>
    <w:rsid w:val="00E1592D"/>
    <w:rPr>
      <w:rFonts w:eastAsiaTheme="majorEastAsia" w:cstheme="majorBidi"/>
      <w:b/>
      <w:color w:val="17315A"/>
      <w:sz w:val="25"/>
    </w:rPr>
  </w:style>
  <w:style w:type="character" w:customStyle="1" w:styleId="Heading6Char">
    <w:name w:val="Heading 6 Char"/>
    <w:basedOn w:val="DefaultParagraphFont"/>
    <w:link w:val="Heading6"/>
    <w:uiPriority w:val="5"/>
    <w:rsid w:val="00E1592D"/>
    <w:rPr>
      <w:rFonts w:eastAsiaTheme="majorEastAsia" w:cstheme="majorBidi"/>
      <w:b/>
      <w:color w:val="2D6E8D"/>
    </w:rPr>
  </w:style>
  <w:style w:type="character" w:styleId="Emphasis">
    <w:name w:val="Emphasis"/>
    <w:uiPriority w:val="20"/>
    <w:qFormat/>
    <w:rsid w:val="005F4190"/>
    <w:rPr>
      <w:b/>
      <w:bCs/>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table" w:customStyle="1" w:styleId="MagentaTable1">
    <w:name w:val="Magenta Table1"/>
    <w:basedOn w:val="TableNormal"/>
    <w:uiPriority w:val="99"/>
    <w:rsid w:val="002D515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Gulim" w:hAnsi="@Gulim" w:cs="Times New Roman" w:hint="default"/>
        <w:b/>
        <w:i w:val="0"/>
        <w:color w:val="FFFFFF"/>
        <w:sz w:val="24"/>
        <w:szCs w:val="24"/>
      </w:rPr>
      <w:tblPr/>
      <w:tcPr>
        <w:shd w:val="clear" w:color="auto" w:fill="17315A"/>
      </w:tcPr>
    </w:tblStylePr>
  </w:style>
  <w:style w:type="table" w:customStyle="1" w:styleId="MagentaTable11">
    <w:name w:val="Magenta Table11"/>
    <w:basedOn w:val="TableNormal"/>
    <w:uiPriority w:val="99"/>
    <w:rsid w:val="002D515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Gulim" w:hAnsi="@Gulim" w:cs="Times New Roman" w:hint="default"/>
        <w:b/>
        <w:i w:val="0"/>
        <w:color w:val="FFFFFF"/>
        <w:sz w:val="24"/>
        <w:szCs w:val="24"/>
      </w:rPr>
      <w:tblPr/>
      <w:tcPr>
        <w:shd w:val="clear" w:color="auto" w:fill="17315A"/>
      </w:tcPr>
    </w:tblStylePr>
  </w:style>
  <w:style w:type="character" w:styleId="Hyperlink">
    <w:name w:val="Hyperlink"/>
    <w:basedOn w:val="DefaultParagraphFont"/>
    <w:uiPriority w:val="99"/>
    <w:unhideWhenUsed/>
    <w:qFormat/>
    <w:rsid w:val="00CF3E6E"/>
    <w:rPr>
      <w:color w:val="0563C1" w:themeColor="hyperlink"/>
      <w:u w:val="single"/>
    </w:rPr>
  </w:style>
  <w:style w:type="table" w:customStyle="1" w:styleId="MagentaTable12">
    <w:name w:val="Magenta Table12"/>
    <w:basedOn w:val="TableNormal"/>
    <w:uiPriority w:val="99"/>
    <w:rsid w:val="002D515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Gulim" w:hAnsi="@Gulim" w:cs="Times New Roman" w:hint="default"/>
        <w:b/>
        <w:i w:val="0"/>
        <w:color w:val="FFFFFF" w:themeColor="background1"/>
        <w:sz w:val="24"/>
        <w:szCs w:val="24"/>
      </w:rPr>
      <w:tblPr/>
      <w:tcPr>
        <w:shd w:val="clear" w:color="auto" w:fill="17315A"/>
      </w:tcPr>
    </w:tblStylePr>
  </w:style>
  <w:style w:type="paragraph" w:styleId="NoSpacing">
    <w:name w:val="No Spacing"/>
    <w:link w:val="NoSpacingChar"/>
    <w:uiPriority w:val="1"/>
    <w:qFormat/>
    <w:rsid w:val="008F26FE"/>
    <w:pPr>
      <w:spacing w:after="0" w:line="240" w:lineRule="auto"/>
    </w:pPr>
    <w:rPr>
      <w:color w:val="414150" w:themeColor="text1"/>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character" w:styleId="Strong">
    <w:name w:val="Strong"/>
    <w:basedOn w:val="DefaultParagraphFont"/>
    <w:uiPriority w:val="1"/>
    <w:rsid w:val="005C2E22"/>
    <w:rPr>
      <w:b/>
      <w:bCs/>
    </w:rPr>
  </w:style>
  <w:style w:type="paragraph" w:customStyle="1" w:styleId="Bullets">
    <w:name w:val="Bullets"/>
    <w:basedOn w:val="Normal"/>
    <w:link w:val="BulletsChar"/>
    <w:uiPriority w:val="1"/>
    <w:qFormat/>
    <w:rsid w:val="00A17B47"/>
    <w:pPr>
      <w:numPr>
        <w:numId w:val="1"/>
      </w:numPr>
      <w:spacing w:after="120"/>
    </w:pPr>
    <w:rPr>
      <w:rFonts w:cs="Segoe UI"/>
    </w:rPr>
  </w:style>
  <w:style w:type="character" w:customStyle="1" w:styleId="BulletsChar">
    <w:name w:val="Bullets Char"/>
    <w:basedOn w:val="DefaultParagraphFont"/>
    <w:link w:val="Bullets"/>
    <w:uiPriority w:val="1"/>
    <w:rsid w:val="00A17B47"/>
    <w:rPr>
      <w:rFonts w:ascii="Tahoma" w:hAnsi="Tahoma" w:cs="Segoe UI"/>
      <w:color w:val="414150" w:themeColor="text1"/>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386641" w:themeColor="accent1"/>
        <w:left w:val="single" w:sz="4" w:space="0" w:color="386641" w:themeColor="accent1"/>
        <w:bottom w:val="single" w:sz="4" w:space="0" w:color="386641" w:themeColor="accent1"/>
        <w:right w:val="single" w:sz="4" w:space="0" w:color="386641" w:themeColor="accent1"/>
      </w:tblBorders>
    </w:tblPr>
    <w:tblStylePr w:type="firstRow">
      <w:rPr>
        <w:b/>
        <w:bCs/>
        <w:color w:val="FFFFFF" w:themeColor="background1"/>
      </w:rPr>
      <w:tblPr/>
      <w:tcPr>
        <w:shd w:val="clear" w:color="auto" w:fill="386641" w:themeFill="accent1"/>
      </w:tcPr>
    </w:tblStylePr>
    <w:tblStylePr w:type="lastRow">
      <w:rPr>
        <w:b/>
        <w:bCs/>
      </w:rPr>
      <w:tblPr/>
      <w:tcPr>
        <w:tcBorders>
          <w:top w:val="double" w:sz="4" w:space="0" w:color="3866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641" w:themeColor="accent1"/>
          <w:right w:val="single" w:sz="4" w:space="0" w:color="386641" w:themeColor="accent1"/>
        </w:tcBorders>
      </w:tcPr>
    </w:tblStylePr>
    <w:tblStylePr w:type="band1Horz">
      <w:tblPr/>
      <w:tcPr>
        <w:tcBorders>
          <w:top w:val="single" w:sz="4" w:space="0" w:color="386641" w:themeColor="accent1"/>
          <w:bottom w:val="single" w:sz="4" w:space="0" w:color="3866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641" w:themeColor="accent1"/>
          <w:left w:val="nil"/>
        </w:tcBorders>
      </w:tcPr>
    </w:tblStylePr>
    <w:tblStylePr w:type="swCell">
      <w:tblPr/>
      <w:tcPr>
        <w:tcBorders>
          <w:top w:val="double" w:sz="4" w:space="0" w:color="386641"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A3CDAB" w:themeColor="accent1" w:themeTint="66"/>
        <w:left w:val="single" w:sz="4" w:space="0" w:color="A3CDAB" w:themeColor="accent1" w:themeTint="66"/>
        <w:bottom w:val="single" w:sz="4" w:space="0" w:color="A3CDAB" w:themeColor="accent1" w:themeTint="66"/>
        <w:right w:val="single" w:sz="4" w:space="0" w:color="A3CDAB" w:themeColor="accent1" w:themeTint="66"/>
        <w:insideH w:val="single" w:sz="4" w:space="0" w:color="A3CDAB" w:themeColor="accent1" w:themeTint="66"/>
        <w:insideV w:val="single" w:sz="4" w:space="0" w:color="A3CDAB"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76B482"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Gulim" w:hAnsi="@Gulim"/>
        <w:sz w:val="24"/>
      </w:rPr>
    </w:tblStyle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Gulim" w:hAnsi="@Gulim" w:cs="Times New Roman"/>
        <w:b/>
        <w:i w:val="0"/>
        <w:color w:val="FFFFFF" w:themeColor="background1"/>
        <w:sz w:val="24"/>
      </w:rPr>
      <w:tblPr/>
      <w:tcPr>
        <w:shd w:val="clear" w:color="auto" w:fill="17315A"/>
      </w:tcPr>
    </w:tblStylePr>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paragraph" w:styleId="TOCHeading">
    <w:name w:val="TOC Heading"/>
    <w:basedOn w:val="Heading2"/>
    <w:next w:val="Normal"/>
    <w:uiPriority w:val="39"/>
    <w:unhideWhenUsed/>
    <w:qFormat/>
    <w:rsid w:val="009E08E5"/>
    <w:pPr>
      <w:spacing w:before="240"/>
      <w:outlineLvl w:val="9"/>
    </w:pPr>
    <w:rPr>
      <w:rFonts w:cs="Tahoma"/>
      <w:color w:val="386641" w:themeColor="accent1"/>
    </w:rPr>
  </w:style>
  <w:style w:type="paragraph" w:styleId="TOC1">
    <w:name w:val="toc 1"/>
    <w:basedOn w:val="Normal"/>
    <w:next w:val="Normal"/>
    <w:autoRedefine/>
    <w:uiPriority w:val="39"/>
    <w:unhideWhenUsed/>
    <w:rsid w:val="000421A6"/>
    <w:pPr>
      <w:tabs>
        <w:tab w:val="right" w:leader="dot" w:pos="9350"/>
      </w:tabs>
      <w:spacing w:after="100"/>
    </w:pPr>
    <w:rPr>
      <w:b/>
      <w:bCs/>
      <w:noProof/>
    </w:r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5B2645"/>
    <w:pPr>
      <w:numPr>
        <w:ilvl w:val="1"/>
      </w:numPr>
      <w:spacing w:before="160"/>
      <w:jc w:val="center"/>
    </w:pPr>
    <w:rPr>
      <w:rFonts w:eastAsiaTheme="minorEastAsia"/>
      <w:b/>
      <w:color w:val="FFFFFF" w:themeColor="background1"/>
      <w:spacing w:val="15"/>
      <w:sz w:val="28"/>
    </w:rPr>
  </w:style>
  <w:style w:type="character" w:customStyle="1" w:styleId="SubtitleChar">
    <w:name w:val="Subtitle Char"/>
    <w:basedOn w:val="DefaultParagraphFont"/>
    <w:link w:val="Subtitle"/>
    <w:uiPriority w:val="11"/>
    <w:rsid w:val="005B2645"/>
    <w:rPr>
      <w:rFonts w:ascii="Tahoma" w:eastAsiaTheme="minorEastAsia" w:hAnsi="Tahoma" w:cs="Tahoma"/>
      <w:b/>
      <w:color w:val="FFFFFF" w:themeColor="background1"/>
      <w:spacing w:val="15"/>
      <w:sz w:val="28"/>
    </w:rPr>
  </w:style>
  <w:style w:type="character" w:customStyle="1" w:styleId="Heading7Char">
    <w:name w:val="Heading 7 Char"/>
    <w:basedOn w:val="DefaultParagraphFont"/>
    <w:link w:val="Heading7"/>
    <w:uiPriority w:val="9"/>
    <w:rsid w:val="0036576D"/>
    <w:rPr>
      <w:rFonts w:eastAsiaTheme="majorEastAsia" w:cstheme="majorBidi"/>
      <w:b/>
      <w:i/>
      <w:iCs/>
      <w:color w:val="17315A"/>
    </w:rPr>
  </w:style>
  <w:style w:type="paragraph" w:styleId="Header">
    <w:name w:val="header"/>
    <w:basedOn w:val="Normal"/>
    <w:link w:val="HeaderChar"/>
    <w:uiPriority w:val="99"/>
    <w:unhideWhenUsed/>
    <w:rsid w:val="0010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90"/>
    <w:rPr>
      <w:color w:val="414150" w:themeColor="text1"/>
    </w:rPr>
  </w:style>
  <w:style w:type="character" w:styleId="UnresolvedMention">
    <w:name w:val="Unresolved Mention"/>
    <w:basedOn w:val="DefaultParagraphFont"/>
    <w:uiPriority w:val="99"/>
    <w:semiHidden/>
    <w:unhideWhenUsed/>
    <w:rsid w:val="00E20138"/>
    <w:rPr>
      <w:color w:val="605E5C"/>
      <w:shd w:val="clear" w:color="auto" w:fill="E1DFDD"/>
    </w:rPr>
  </w:style>
  <w:style w:type="paragraph" w:styleId="FootnoteText">
    <w:name w:val="footnote text"/>
    <w:basedOn w:val="Normal"/>
    <w:link w:val="FootnoteTextChar"/>
    <w:uiPriority w:val="99"/>
    <w:semiHidden/>
    <w:unhideWhenUsed/>
    <w:rsid w:val="00BE46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6C8"/>
    <w:rPr>
      <w:color w:val="414150" w:themeColor="text1"/>
      <w:sz w:val="20"/>
      <w:szCs w:val="20"/>
    </w:rPr>
  </w:style>
  <w:style w:type="character" w:styleId="FootnoteReference">
    <w:name w:val="footnote reference"/>
    <w:aliases w:val="Style 49"/>
    <w:basedOn w:val="DefaultParagraphFont"/>
    <w:uiPriority w:val="99"/>
    <w:unhideWhenUsed/>
    <w:rsid w:val="00BE46C8"/>
    <w:rPr>
      <w:vertAlign w:val="superscript"/>
    </w:rPr>
  </w:style>
  <w:style w:type="paragraph" w:customStyle="1" w:styleId="Endnote">
    <w:name w:val="Endnote"/>
    <w:basedOn w:val="Normal"/>
    <w:link w:val="EndnoteChar"/>
    <w:uiPriority w:val="12"/>
    <w:qFormat/>
    <w:rsid w:val="0024663E"/>
    <w:pPr>
      <w:framePr w:hSpace="180" w:wrap="around" w:vAnchor="text" w:hAnchor="text" w:y="1"/>
      <w:spacing w:before="60" w:after="60" w:line="240" w:lineRule="auto"/>
    </w:pPr>
    <w:rPr>
      <w:rFonts w:eastAsia="Calibri"/>
      <w:sz w:val="16"/>
      <w:szCs w:val="14"/>
    </w:rPr>
  </w:style>
  <w:style w:type="character" w:customStyle="1" w:styleId="EndnoteChar">
    <w:name w:val="Endnote Char"/>
    <w:basedOn w:val="DefaultParagraphFont"/>
    <w:link w:val="Endnote"/>
    <w:uiPriority w:val="12"/>
    <w:rsid w:val="0024663E"/>
    <w:rPr>
      <w:rFonts w:ascii="Tahoma" w:eastAsia="Calibri" w:hAnsi="Tahoma" w:cs="Tahoma"/>
      <w:color w:val="414150" w:themeColor="text1"/>
      <w:sz w:val="16"/>
      <w:szCs w:val="14"/>
    </w:rPr>
  </w:style>
  <w:style w:type="paragraph" w:customStyle="1" w:styleId="FirstPageTitle">
    <w:name w:val="First Page Title"/>
    <w:link w:val="FirstPageTitleChar"/>
    <w:uiPriority w:val="1"/>
    <w:rsid w:val="009E08E5"/>
    <w:pPr>
      <w:jc w:val="center"/>
    </w:pPr>
    <w:rPr>
      <w:rFonts w:ascii="Tahoma" w:eastAsiaTheme="majorEastAsia" w:hAnsi="Tahoma" w:cs="Tahoma"/>
      <w:b/>
      <w:caps/>
      <w:color w:val="FFFFFF" w:themeColor="background1"/>
      <w:sz w:val="60"/>
      <w:szCs w:val="60"/>
    </w:rPr>
  </w:style>
  <w:style w:type="character" w:customStyle="1" w:styleId="FirstPageTitleChar">
    <w:name w:val="First Page Title Char"/>
    <w:basedOn w:val="DefaultParagraphFont"/>
    <w:link w:val="FirstPageTitle"/>
    <w:uiPriority w:val="1"/>
    <w:rsid w:val="009E08E5"/>
    <w:rPr>
      <w:rFonts w:ascii="Tahoma" w:eastAsiaTheme="majorEastAsia" w:hAnsi="Tahoma" w:cs="Tahoma"/>
      <w:b/>
      <w:caps/>
      <w:color w:val="FFFFFF" w:themeColor="background1"/>
      <w:sz w:val="60"/>
      <w:szCs w:val="60"/>
    </w:rPr>
  </w:style>
  <w:style w:type="paragraph" w:customStyle="1" w:styleId="GraphicAnchor">
    <w:name w:val="Graphic Anchor"/>
    <w:basedOn w:val="Normal"/>
    <w:uiPriority w:val="7"/>
    <w:rsid w:val="00F743EA"/>
    <w:pPr>
      <w:spacing w:after="0" w:line="240" w:lineRule="auto"/>
    </w:pPr>
    <w:rPr>
      <w:rFonts w:asciiTheme="minorHAnsi" w:hAnsiTheme="minorHAnsi"/>
      <w:sz w:val="10"/>
    </w:rPr>
  </w:style>
  <w:style w:type="paragraph" w:styleId="Quote">
    <w:name w:val="Quote"/>
    <w:basedOn w:val="Normal"/>
    <w:next w:val="Normal"/>
    <w:link w:val="QuoteChar"/>
    <w:uiPriority w:val="29"/>
    <w:qFormat/>
    <w:rsid w:val="00F743EA"/>
    <w:pPr>
      <w:spacing w:after="0" w:line="192" w:lineRule="auto"/>
      <w:jc w:val="center"/>
    </w:pPr>
    <w:rPr>
      <w:rFonts w:asciiTheme="majorHAnsi" w:hAnsiTheme="majorHAnsi"/>
      <w:iCs/>
      <w:color w:val="386641" w:themeColor="accent1"/>
      <w:sz w:val="76"/>
    </w:rPr>
  </w:style>
  <w:style w:type="character" w:customStyle="1" w:styleId="QuoteChar">
    <w:name w:val="Quote Char"/>
    <w:basedOn w:val="DefaultParagraphFont"/>
    <w:link w:val="Quote"/>
    <w:uiPriority w:val="29"/>
    <w:rsid w:val="00F743EA"/>
    <w:rPr>
      <w:rFonts w:asciiTheme="majorHAnsi" w:hAnsiTheme="majorHAnsi"/>
      <w:iCs/>
      <w:color w:val="386641" w:themeColor="accent1"/>
      <w:sz w:val="76"/>
    </w:rPr>
  </w:style>
  <w:style w:type="character" w:customStyle="1" w:styleId="NoSpacingChar">
    <w:name w:val="No Spacing Char"/>
    <w:basedOn w:val="DefaultParagraphFont"/>
    <w:link w:val="NoSpacing"/>
    <w:uiPriority w:val="1"/>
    <w:rsid w:val="00984581"/>
    <w:rPr>
      <w:color w:val="414150" w:themeColor="text1"/>
    </w:rPr>
  </w:style>
  <w:style w:type="paragraph" w:styleId="EndnoteText">
    <w:name w:val="endnote text"/>
    <w:basedOn w:val="Normal"/>
    <w:link w:val="EndnoteTextChar"/>
    <w:uiPriority w:val="99"/>
    <w:unhideWhenUsed/>
    <w:rsid w:val="00722265"/>
    <w:pPr>
      <w:spacing w:after="0" w:line="240" w:lineRule="auto"/>
    </w:pPr>
    <w:rPr>
      <w:sz w:val="20"/>
      <w:szCs w:val="20"/>
    </w:rPr>
  </w:style>
  <w:style w:type="character" w:customStyle="1" w:styleId="EndnoteTextChar">
    <w:name w:val="Endnote Text Char"/>
    <w:basedOn w:val="DefaultParagraphFont"/>
    <w:link w:val="EndnoteText"/>
    <w:uiPriority w:val="99"/>
    <w:rsid w:val="00722265"/>
    <w:rPr>
      <w:rFonts w:ascii="Tahoma" w:hAnsi="Tahoma" w:cs="Tahoma"/>
      <w:color w:val="414150" w:themeColor="text1"/>
      <w:sz w:val="20"/>
      <w:szCs w:val="20"/>
    </w:rPr>
  </w:style>
  <w:style w:type="character" w:styleId="EndnoteReference">
    <w:name w:val="endnote reference"/>
    <w:basedOn w:val="DefaultParagraphFont"/>
    <w:uiPriority w:val="99"/>
    <w:semiHidden/>
    <w:unhideWhenUsed/>
    <w:rsid w:val="00722265"/>
    <w:rPr>
      <w:vertAlign w:val="superscript"/>
    </w:rPr>
  </w:style>
  <w:style w:type="paragraph" w:customStyle="1" w:styleId="SectionNameHeader">
    <w:name w:val="Section Name Header"/>
    <w:basedOn w:val="FirstPageTitle"/>
    <w:link w:val="SectionNameHeaderChar"/>
    <w:uiPriority w:val="1"/>
    <w:rsid w:val="00243BB2"/>
    <w:rPr>
      <w:b w:val="0"/>
      <w:color w:val="386641" w:themeColor="accent1"/>
      <w:szCs w:val="52"/>
    </w:rPr>
  </w:style>
  <w:style w:type="character" w:customStyle="1" w:styleId="SectionNameHeaderChar">
    <w:name w:val="Section Name Header Char"/>
    <w:basedOn w:val="FirstPageTitleChar"/>
    <w:link w:val="SectionNameHeader"/>
    <w:uiPriority w:val="1"/>
    <w:rsid w:val="00243BB2"/>
    <w:rPr>
      <w:rFonts w:ascii="Tahoma" w:eastAsiaTheme="majorEastAsia" w:hAnsi="Tahoma" w:cs="Tahoma"/>
      <w:b w:val="0"/>
      <w:caps/>
      <w:color w:val="386641" w:themeColor="accent1"/>
      <w:sz w:val="60"/>
      <w:szCs w:val="52"/>
    </w:rPr>
  </w:style>
  <w:style w:type="character" w:styleId="CommentReference">
    <w:name w:val="annotation reference"/>
    <w:basedOn w:val="DefaultParagraphFont"/>
    <w:uiPriority w:val="99"/>
    <w:semiHidden/>
    <w:unhideWhenUsed/>
    <w:rsid w:val="00155397"/>
    <w:rPr>
      <w:sz w:val="16"/>
      <w:szCs w:val="16"/>
    </w:rPr>
  </w:style>
  <w:style w:type="paragraph" w:styleId="CommentText">
    <w:name w:val="annotation text"/>
    <w:basedOn w:val="Normal"/>
    <w:link w:val="CommentTextChar"/>
    <w:uiPriority w:val="99"/>
    <w:unhideWhenUsed/>
    <w:rsid w:val="00155397"/>
    <w:pPr>
      <w:spacing w:line="240" w:lineRule="auto"/>
    </w:pPr>
    <w:rPr>
      <w:sz w:val="20"/>
      <w:szCs w:val="20"/>
    </w:rPr>
  </w:style>
  <w:style w:type="character" w:customStyle="1" w:styleId="CommentTextChar">
    <w:name w:val="Comment Text Char"/>
    <w:basedOn w:val="DefaultParagraphFont"/>
    <w:link w:val="CommentText"/>
    <w:uiPriority w:val="99"/>
    <w:rsid w:val="00155397"/>
    <w:rPr>
      <w:rFonts w:ascii="Tahoma" w:hAnsi="Tahoma" w:cs="Tahoma"/>
      <w:color w:val="414150" w:themeColor="text1"/>
      <w:sz w:val="20"/>
      <w:szCs w:val="20"/>
    </w:rPr>
  </w:style>
  <w:style w:type="paragraph" w:styleId="CommentSubject">
    <w:name w:val="annotation subject"/>
    <w:basedOn w:val="CommentText"/>
    <w:next w:val="CommentText"/>
    <w:link w:val="CommentSubjectChar"/>
    <w:uiPriority w:val="99"/>
    <w:semiHidden/>
    <w:unhideWhenUsed/>
    <w:rsid w:val="00155397"/>
    <w:rPr>
      <w:b/>
      <w:bCs/>
    </w:rPr>
  </w:style>
  <w:style w:type="character" w:customStyle="1" w:styleId="CommentSubjectChar">
    <w:name w:val="Comment Subject Char"/>
    <w:basedOn w:val="CommentTextChar"/>
    <w:link w:val="CommentSubject"/>
    <w:uiPriority w:val="99"/>
    <w:semiHidden/>
    <w:rsid w:val="00155397"/>
    <w:rPr>
      <w:rFonts w:ascii="Tahoma" w:hAnsi="Tahoma" w:cs="Tahoma"/>
      <w:b/>
      <w:bCs/>
      <w:color w:val="414150" w:themeColor="text1"/>
      <w:sz w:val="20"/>
      <w:szCs w:val="20"/>
    </w:rPr>
  </w:style>
  <w:style w:type="paragraph" w:customStyle="1" w:styleId="SectionName">
    <w:name w:val="Section Name"/>
    <w:basedOn w:val="Heading1"/>
    <w:link w:val="SectionNameChar"/>
    <w:uiPriority w:val="1"/>
    <w:qFormat/>
    <w:rsid w:val="000878C4"/>
    <w:pPr>
      <w:jc w:val="center"/>
    </w:pPr>
    <w:rPr>
      <w:b w:val="0"/>
      <w:bCs/>
      <w:noProof/>
      <w:sz w:val="60"/>
      <w:szCs w:val="60"/>
    </w:rPr>
  </w:style>
  <w:style w:type="character" w:customStyle="1" w:styleId="SectionNameChar">
    <w:name w:val="Section Name Char"/>
    <w:basedOn w:val="Heading1Char"/>
    <w:link w:val="SectionName"/>
    <w:uiPriority w:val="1"/>
    <w:rsid w:val="000878C4"/>
    <w:rPr>
      <w:rFonts w:ascii="Tahoma" w:eastAsiaTheme="majorEastAsia" w:hAnsi="Tahoma" w:cs="Tahoma"/>
      <w:b w:val="0"/>
      <w:bCs/>
      <w:noProof/>
      <w:color w:val="386641" w:themeColor="accent1"/>
      <w:sz w:val="60"/>
      <w:szCs w:val="60"/>
    </w:rPr>
  </w:style>
  <w:style w:type="paragraph" w:customStyle="1" w:styleId="TechnicalAppendixHeader">
    <w:name w:val="Technical Appendix Header"/>
    <w:basedOn w:val="Heading2"/>
    <w:link w:val="TechnicalAppendixHeaderChar"/>
    <w:autoRedefine/>
    <w:uiPriority w:val="1"/>
    <w:qFormat/>
    <w:rsid w:val="00E24E76"/>
    <w:pPr>
      <w:spacing w:before="120" w:after="120"/>
    </w:pPr>
    <w:rPr>
      <w:color w:val="414150" w:themeColor="text1"/>
      <w:sz w:val="18"/>
      <w:szCs w:val="18"/>
    </w:rPr>
  </w:style>
  <w:style w:type="character" w:customStyle="1" w:styleId="TechnicalAppendixHeaderChar">
    <w:name w:val="Technical Appendix Header Char"/>
    <w:basedOn w:val="Heading2Char"/>
    <w:link w:val="TechnicalAppendixHeader"/>
    <w:uiPriority w:val="1"/>
    <w:rsid w:val="00B972B6"/>
    <w:rPr>
      <w:rFonts w:ascii="Tahoma" w:eastAsiaTheme="majorEastAsia" w:hAnsi="Tahoma" w:cs="Segoe UI"/>
      <w:b/>
      <w:iCs/>
      <w:color w:val="414150" w:themeColor="text1"/>
      <w:sz w:val="18"/>
      <w:szCs w:val="18"/>
    </w:rPr>
  </w:style>
  <w:style w:type="paragraph" w:customStyle="1" w:styleId="TechnicalAppendixText">
    <w:name w:val="Technical Appendix Text"/>
    <w:basedOn w:val="Normal"/>
    <w:link w:val="TechnicalAppendixTextChar"/>
    <w:uiPriority w:val="1"/>
    <w:qFormat/>
    <w:rsid w:val="00F462AF"/>
    <w:rPr>
      <w:sz w:val="18"/>
      <w:szCs w:val="18"/>
    </w:rPr>
  </w:style>
  <w:style w:type="character" w:customStyle="1" w:styleId="TechnicalAppendixTextChar">
    <w:name w:val="Technical Appendix Text Char"/>
    <w:basedOn w:val="DefaultParagraphFont"/>
    <w:link w:val="TechnicalAppendixText"/>
    <w:uiPriority w:val="1"/>
    <w:rsid w:val="00F462AF"/>
    <w:rPr>
      <w:rFonts w:ascii="Tahoma" w:hAnsi="Tahoma"/>
      <w:sz w:val="18"/>
      <w:szCs w:val="18"/>
    </w:rPr>
  </w:style>
  <w:style w:type="paragraph" w:styleId="TOC4">
    <w:name w:val="toc 4"/>
    <w:basedOn w:val="Normal"/>
    <w:next w:val="Normal"/>
    <w:autoRedefine/>
    <w:uiPriority w:val="39"/>
    <w:unhideWhenUsed/>
    <w:rsid w:val="00277813"/>
    <w:pPr>
      <w:spacing w:after="100"/>
      <w:ind w:left="720"/>
    </w:pPr>
  </w:style>
  <w:style w:type="paragraph" w:styleId="ListParagraph">
    <w:name w:val="List Paragraph"/>
    <w:basedOn w:val="Normal"/>
    <w:uiPriority w:val="34"/>
    <w:qFormat/>
    <w:rsid w:val="003A78B9"/>
    <w:pPr>
      <w:ind w:left="720"/>
      <w:contextualSpacing/>
    </w:pPr>
  </w:style>
  <w:style w:type="paragraph" w:customStyle="1" w:styleId="LegislativeText">
    <w:name w:val="Legislative Text"/>
    <w:basedOn w:val="Normal"/>
    <w:link w:val="LegislativeTextChar"/>
    <w:uiPriority w:val="1"/>
    <w:qFormat/>
    <w:rsid w:val="0025673F"/>
    <w:rPr>
      <w:rFonts w:ascii="Times New Roman" w:hAnsi="Times New Roman" w:cs="Times New Roman"/>
    </w:rPr>
  </w:style>
  <w:style w:type="character" w:customStyle="1" w:styleId="LegislativeTextChar">
    <w:name w:val="Legislative Text Char"/>
    <w:basedOn w:val="DefaultParagraphFont"/>
    <w:link w:val="LegislativeText"/>
    <w:uiPriority w:val="1"/>
    <w:rsid w:val="0025673F"/>
    <w:rPr>
      <w:rFonts w:ascii="Times New Roman" w:hAnsi="Times New Roman" w:cs="Times New Roman"/>
    </w:rPr>
  </w:style>
  <w:style w:type="paragraph" w:styleId="IntenseQuote">
    <w:name w:val="Intense Quote"/>
    <w:basedOn w:val="Normal"/>
    <w:next w:val="Normal"/>
    <w:link w:val="IntenseQuoteChar"/>
    <w:uiPriority w:val="30"/>
    <w:qFormat/>
    <w:rsid w:val="00EE2672"/>
    <w:pPr>
      <w:pBdr>
        <w:top w:val="single" w:sz="4" w:space="10" w:color="2A4C30" w:themeColor="accent1" w:themeShade="BF"/>
        <w:bottom w:val="single" w:sz="4" w:space="10" w:color="2A4C30" w:themeColor="accent1" w:themeShade="BF"/>
      </w:pBdr>
      <w:spacing w:before="360" w:after="360" w:line="240" w:lineRule="auto"/>
      <w:ind w:left="864" w:right="864"/>
      <w:jc w:val="center"/>
    </w:pPr>
    <w:rPr>
      <w:rFonts w:ascii="Times New Roman" w:eastAsia="Times New Roman" w:hAnsi="Times New Roman" w:cs="Times New Roman"/>
      <w:i/>
      <w:iCs/>
      <w:color w:val="2A4C30" w:themeColor="accent1" w:themeShade="BF"/>
    </w:rPr>
  </w:style>
  <w:style w:type="character" w:customStyle="1" w:styleId="IntenseQuoteChar">
    <w:name w:val="Intense Quote Char"/>
    <w:basedOn w:val="DefaultParagraphFont"/>
    <w:link w:val="IntenseQuote"/>
    <w:uiPriority w:val="30"/>
    <w:rsid w:val="00EE2672"/>
    <w:rPr>
      <w:rFonts w:ascii="Times New Roman" w:eastAsia="Times New Roman" w:hAnsi="Times New Roman" w:cs="Times New Roman"/>
      <w:i/>
      <w:iCs/>
      <w:color w:val="2A4C30" w:themeColor="accent1" w:themeShade="BF"/>
    </w:rPr>
  </w:style>
  <w:style w:type="character" w:styleId="FollowedHyperlink">
    <w:name w:val="FollowedHyperlink"/>
    <w:basedOn w:val="DefaultParagraphFont"/>
    <w:uiPriority w:val="99"/>
    <w:semiHidden/>
    <w:unhideWhenUsed/>
    <w:rsid w:val="00EF5B11"/>
    <w:rPr>
      <w:color w:val="96607D" w:themeColor="followedHyperlink"/>
      <w:u w:val="single"/>
    </w:rPr>
  </w:style>
  <w:style w:type="paragraph" w:customStyle="1" w:styleId="PullQuote">
    <w:name w:val="Pull Quote"/>
    <w:basedOn w:val="Normal"/>
    <w:link w:val="PullQuoteChar"/>
    <w:uiPriority w:val="1"/>
    <w:qFormat/>
    <w:rsid w:val="00910F91"/>
    <w:pPr>
      <w:spacing w:line="240" w:lineRule="auto"/>
      <w:jc w:val="center"/>
    </w:pPr>
    <w:rPr>
      <w:rFonts w:cs="Tahoma"/>
      <w:b/>
      <w:bCs/>
      <w:color w:val="D8572A"/>
      <w:sz w:val="28"/>
      <w:szCs w:val="28"/>
    </w:rPr>
  </w:style>
  <w:style w:type="character" w:customStyle="1" w:styleId="PullQuoteChar">
    <w:name w:val="Pull Quote Char"/>
    <w:basedOn w:val="DefaultParagraphFont"/>
    <w:link w:val="PullQuote"/>
    <w:uiPriority w:val="1"/>
    <w:rsid w:val="00910F91"/>
    <w:rPr>
      <w:rFonts w:ascii="Tahoma" w:hAnsi="Tahoma" w:cs="Tahoma"/>
      <w:b/>
      <w:bCs/>
      <w:color w:val="D8572A"/>
      <w:sz w:val="28"/>
      <w:szCs w:val="28"/>
    </w:rPr>
  </w:style>
  <w:style w:type="character" w:styleId="Mention">
    <w:name w:val="Mention"/>
    <w:basedOn w:val="DefaultParagraphFont"/>
    <w:uiPriority w:val="99"/>
    <w:unhideWhenUsed/>
    <w:rsid w:val="006140F8"/>
    <w:rPr>
      <w:color w:val="2B579A"/>
      <w:shd w:val="clear" w:color="auto" w:fill="E1DFDD"/>
    </w:rPr>
  </w:style>
  <w:style w:type="paragraph" w:customStyle="1" w:styleId="BlueEmphasis">
    <w:name w:val="Blue Emphasis"/>
    <w:basedOn w:val="Normal"/>
    <w:link w:val="BlueEmphasisChar"/>
    <w:uiPriority w:val="1"/>
    <w:qFormat/>
    <w:rsid w:val="004B7866"/>
    <w:rPr>
      <w:b/>
      <w:noProof/>
      <w:color w:val="04577C" w:themeColor="accent5"/>
    </w:rPr>
  </w:style>
  <w:style w:type="character" w:customStyle="1" w:styleId="BlueEmphasisChar">
    <w:name w:val="Blue Emphasis Char"/>
    <w:basedOn w:val="DefaultParagraphFont"/>
    <w:link w:val="BlueEmphasis"/>
    <w:uiPriority w:val="1"/>
    <w:rsid w:val="004B7866"/>
    <w:rPr>
      <w:rFonts w:ascii="Tahoma" w:hAnsi="Tahoma"/>
      <w:b/>
      <w:noProof/>
      <w:color w:val="04577C" w:themeColor="accent5"/>
    </w:rPr>
  </w:style>
  <w:style w:type="paragraph" w:styleId="Title">
    <w:name w:val="Title"/>
    <w:basedOn w:val="Normal"/>
    <w:link w:val="TitleChar"/>
    <w:uiPriority w:val="10"/>
    <w:qFormat/>
    <w:rsid w:val="00915C64"/>
    <w:pPr>
      <w:spacing w:before="100" w:beforeAutospacing="1" w:after="100" w:afterAutospacing="1" w:line="240" w:lineRule="auto"/>
    </w:pPr>
    <w:rPr>
      <w:rFonts w:ascii="Times New Roman" w:eastAsiaTheme="minorEastAsia" w:hAnsi="Times New Roman" w:cs="Times New Roman"/>
      <w:color w:val="auto"/>
    </w:rPr>
  </w:style>
  <w:style w:type="character" w:customStyle="1" w:styleId="TitleChar">
    <w:name w:val="Title Char"/>
    <w:basedOn w:val="DefaultParagraphFont"/>
    <w:link w:val="Title"/>
    <w:uiPriority w:val="10"/>
    <w:rsid w:val="00915C64"/>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135418413">
      <w:bodyDiv w:val="1"/>
      <w:marLeft w:val="0"/>
      <w:marRight w:val="0"/>
      <w:marTop w:val="0"/>
      <w:marBottom w:val="0"/>
      <w:divBdr>
        <w:top w:val="none" w:sz="0" w:space="0" w:color="auto"/>
        <w:left w:val="none" w:sz="0" w:space="0" w:color="auto"/>
        <w:bottom w:val="none" w:sz="0" w:space="0" w:color="auto"/>
        <w:right w:val="none" w:sz="0" w:space="0" w:color="auto"/>
      </w:divBdr>
    </w:div>
    <w:div w:id="222564539">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53462242">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418790460">
      <w:bodyDiv w:val="1"/>
      <w:marLeft w:val="0"/>
      <w:marRight w:val="0"/>
      <w:marTop w:val="0"/>
      <w:marBottom w:val="0"/>
      <w:divBdr>
        <w:top w:val="none" w:sz="0" w:space="0" w:color="auto"/>
        <w:left w:val="none" w:sz="0" w:space="0" w:color="auto"/>
        <w:bottom w:val="none" w:sz="0" w:space="0" w:color="auto"/>
        <w:right w:val="none" w:sz="0" w:space="0" w:color="auto"/>
      </w:divBdr>
    </w:div>
    <w:div w:id="551038496">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982926420">
      <w:bodyDiv w:val="1"/>
      <w:marLeft w:val="0"/>
      <w:marRight w:val="0"/>
      <w:marTop w:val="0"/>
      <w:marBottom w:val="0"/>
      <w:divBdr>
        <w:top w:val="none" w:sz="0" w:space="0" w:color="auto"/>
        <w:left w:val="none" w:sz="0" w:space="0" w:color="auto"/>
        <w:bottom w:val="none" w:sz="0" w:space="0" w:color="auto"/>
        <w:right w:val="none" w:sz="0" w:space="0" w:color="auto"/>
      </w:divBdr>
    </w:div>
    <w:div w:id="1299267601">
      <w:bodyDiv w:val="1"/>
      <w:marLeft w:val="0"/>
      <w:marRight w:val="0"/>
      <w:marTop w:val="0"/>
      <w:marBottom w:val="0"/>
      <w:divBdr>
        <w:top w:val="none" w:sz="0" w:space="0" w:color="auto"/>
        <w:left w:val="none" w:sz="0" w:space="0" w:color="auto"/>
        <w:bottom w:val="none" w:sz="0" w:space="0" w:color="auto"/>
        <w:right w:val="none" w:sz="0" w:space="0" w:color="auto"/>
      </w:divBdr>
    </w:div>
    <w:div w:id="1340304317">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682776671">
      <w:bodyDiv w:val="1"/>
      <w:marLeft w:val="0"/>
      <w:marRight w:val="0"/>
      <w:marTop w:val="0"/>
      <w:marBottom w:val="0"/>
      <w:divBdr>
        <w:top w:val="none" w:sz="0" w:space="0" w:color="auto"/>
        <w:left w:val="none" w:sz="0" w:space="0" w:color="auto"/>
        <w:bottom w:val="none" w:sz="0" w:space="0" w:color="auto"/>
        <w:right w:val="none" w:sz="0" w:space="0" w:color="auto"/>
      </w:divBdr>
    </w:div>
    <w:div w:id="1779374507">
      <w:bodyDiv w:val="1"/>
      <w:marLeft w:val="0"/>
      <w:marRight w:val="0"/>
      <w:marTop w:val="0"/>
      <w:marBottom w:val="0"/>
      <w:divBdr>
        <w:top w:val="none" w:sz="0" w:space="0" w:color="auto"/>
        <w:left w:val="none" w:sz="0" w:space="0" w:color="auto"/>
        <w:bottom w:val="none" w:sz="0" w:space="0" w:color="auto"/>
        <w:right w:val="none" w:sz="0" w:space="0" w:color="auto"/>
      </w:divBdr>
    </w:div>
    <w:div w:id="1933472470">
      <w:bodyDiv w:val="1"/>
      <w:marLeft w:val="0"/>
      <w:marRight w:val="0"/>
      <w:marTop w:val="0"/>
      <w:marBottom w:val="0"/>
      <w:divBdr>
        <w:top w:val="none" w:sz="0" w:space="0" w:color="auto"/>
        <w:left w:val="none" w:sz="0" w:space="0" w:color="auto"/>
        <w:bottom w:val="none" w:sz="0" w:space="0" w:color="auto"/>
        <w:right w:val="none" w:sz="0" w:space="0" w:color="auto"/>
      </w:divBdr>
    </w:div>
    <w:div w:id="2085183206">
      <w:bodyDiv w:val="1"/>
      <w:marLeft w:val="0"/>
      <w:marRight w:val="0"/>
      <w:marTop w:val="0"/>
      <w:marBottom w:val="0"/>
      <w:divBdr>
        <w:top w:val="none" w:sz="0" w:space="0" w:color="auto"/>
        <w:left w:val="none" w:sz="0" w:space="0" w:color="auto"/>
        <w:bottom w:val="none" w:sz="0" w:space="0" w:color="auto"/>
        <w:right w:val="none" w:sz="0" w:space="0" w:color="auto"/>
      </w:divBdr>
    </w:div>
    <w:div w:id="21167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svg"/><Relationship Id="rId39" Type="http://schemas.openxmlformats.org/officeDocument/2006/relationships/footer" Target="footer6.xml"/><Relationship Id="rId21" Type="http://schemas.openxmlformats.org/officeDocument/2006/relationships/hyperlink" Target="#_Simplify_Eligibility_by"/><Relationship Id="rId34" Type="http://schemas.openxmlformats.org/officeDocument/2006/relationships/footer" Target="footer4.xml"/><Relationship Id="rId42" Type="http://schemas.openxmlformats.org/officeDocument/2006/relationships/image" Target="media/image15.svg"/><Relationship Id="rId47" Type="http://schemas.openxmlformats.org/officeDocument/2006/relationships/image" Target="media/image17.png"/><Relationship Id="rId50" Type="http://schemas.openxmlformats.org/officeDocument/2006/relationships/image" Target="media/image19.png"/><Relationship Id="rId55" Type="http://schemas.openxmlformats.org/officeDocument/2006/relationships/footer" Target="foot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svg"/><Relationship Id="rId11" Type="http://schemas.openxmlformats.org/officeDocument/2006/relationships/endnotes" Target="endnotes.xml"/><Relationship Id="rId24" Type="http://schemas.openxmlformats.org/officeDocument/2006/relationships/hyperlink" Target="#_End_the_MSP_1"/><Relationship Id="rId32" Type="http://schemas.openxmlformats.org/officeDocument/2006/relationships/image" Target="media/image11.svg"/><Relationship Id="rId37" Type="http://schemas.openxmlformats.org/officeDocument/2006/relationships/header" Target="header5.xml"/><Relationship Id="rId40" Type="http://schemas.openxmlformats.org/officeDocument/2006/relationships/hyperlink" Target="mailto:info@ADHealthPolicyLab.org" TargetMode="External"/><Relationship Id="rId45" Type="http://schemas.openxmlformats.org/officeDocument/2006/relationships/footer" Target="footer8.xml"/><Relationship Id="rId53" Type="http://schemas.openxmlformats.org/officeDocument/2006/relationships/image" Target="media/image20.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_Flatten_the_Benefit"/><Relationship Id="rId30" Type="http://schemas.openxmlformats.org/officeDocument/2006/relationships/hyperlink" Target="#_Eliminate_the_Asset_1"/><Relationship Id="rId35" Type="http://schemas.openxmlformats.org/officeDocument/2006/relationships/image" Target="media/image12.png"/><Relationship Id="rId43" Type="http://schemas.openxmlformats.org/officeDocument/2006/relationships/footer" Target="footer7.xml"/><Relationship Id="rId48" Type="http://schemas.openxmlformats.org/officeDocument/2006/relationships/image" Target="media/image18.svg"/><Relationship Id="rId56"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header" Target="header4.xml"/><Relationship Id="rId38" Type="http://schemas.openxmlformats.org/officeDocument/2006/relationships/footer" Target="footer5.xml"/><Relationship Id="rId46" Type="http://schemas.openxmlformats.org/officeDocument/2006/relationships/hyperlink" Target="mailto:info@ADHealthPolicyLab.org" TargetMode="External"/><Relationship Id="rId59" Type="http://schemas.openxmlformats.org/officeDocument/2006/relationships/theme" Target="theme/theme1.xml"/><Relationship Id="rId20" Type="http://schemas.openxmlformats.org/officeDocument/2006/relationships/image" Target="media/image3.svg"/><Relationship Id="rId41" Type="http://schemas.openxmlformats.org/officeDocument/2006/relationships/image" Target="media/image14.png"/><Relationship Id="rId54" Type="http://schemas.openxmlformats.org/officeDocument/2006/relationships/image" Target="media/image21.sv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svg"/><Relationship Id="rId28" Type="http://schemas.openxmlformats.org/officeDocument/2006/relationships/image" Target="media/image8.png"/><Relationship Id="rId36" Type="http://schemas.openxmlformats.org/officeDocument/2006/relationships/image" Target="media/image13.svg"/><Relationship Id="rId49" Type="http://schemas.openxmlformats.org/officeDocument/2006/relationships/footer" Target="footer9.xml"/><Relationship Id="rId57" Type="http://schemas.openxmlformats.org/officeDocument/2006/relationships/footer" Target="footer13.xm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image" Target="media/image16.png"/><Relationship Id="rId52" Type="http://schemas.openxmlformats.org/officeDocument/2006/relationships/footer" Target="footer11.xml"/><Relationship Id="rId60" Type="http://schemas.microsoft.com/office/2019/05/relationships/documenttasks" Target="documenttasks/documenttasks1.xml"/></Relationships>
</file>

<file path=word/_rels/endnotes.xml.rels><?xml version="1.0" encoding="UTF-8" standalone="yes"?>
<Relationships xmlns="http://schemas.openxmlformats.org/package/2006/relationships"><Relationship Id="rId117" Type="http://schemas.openxmlformats.org/officeDocument/2006/relationships/hyperlink" Target="https://justiceinaging.org/final-rule-enrollment-in-medicare-savings-programs/" TargetMode="External"/><Relationship Id="rId21" Type="http://schemas.openxmlformats.org/officeDocument/2006/relationships/hyperlink" Target="https://aspe.hhs.gov/basic-report/loss-medicare-medicaid-dual-eligible-status-frequency-contributing-factors-and-implications" TargetMode="External"/><Relationship Id="rId42" Type="http://schemas.openxmlformats.org/officeDocument/2006/relationships/hyperlink" Target="https://www.cms.gov/files/document/navigating-medicare-savings-program-msp-eligibility-experience-journey-map.pdf" TargetMode="External"/><Relationship Id="rId63" Type="http://schemas.openxmlformats.org/officeDocument/2006/relationships/hyperlink" Target="https://nam10.safelinks.protection.outlook.com/?url=https%3A%2F%2Fwww.aarp.org%2Fcontent%2Fdam%2Faarp%2Fppi%2Ftopics%2Fhealth%2Fcoverage-access%2Fmedicare-savings-program-enrollment-increases.doi.10.26419-2Fppi.00210.001.pdf&amp;data=05%7C02%7Ctim%40adhealthpolicylab.org%7C181490f39af343b8e25908de8501a3f6%7C51cba11037c240579d288523a4e6febf%7C1%7C0%7C639094439252933760%7CUnknown%7CTWFpbGZsb3d8eyJFbXB0eU1hcGkiOnRydWUsIlYiOiIwLjAuMDAwMCIsIlAiOiJXaW4zMiIsIkFOIjoiTWFpbCIsIldUIjoyfQ%3D%3D%7C0%7C%7C%7C&amp;sdata=cTKcZz65eOGAx%2BbEqhfvSH8%2BfSvNm%2FpinPeVtFIRfD4%3D&amp;reserved=0" TargetMode="External"/><Relationship Id="rId84" Type="http://schemas.openxmlformats.org/officeDocument/2006/relationships/hyperlink" Target="https://www.macpac.gov/wp-content/uploads/2025/08/2025.08-Policy-in-Brief-State-Medicaid-Payment-Policies-for-Medicare-Cost-Sharing.pdf" TargetMode="External"/><Relationship Id="rId138" Type="http://schemas.openxmlformats.org/officeDocument/2006/relationships/hyperlink" Target="https://secure.ssa.gov/poms.nsf/lnx/0501140100" TargetMode="External"/><Relationship Id="rId16" Type="http://schemas.openxmlformats.org/officeDocument/2006/relationships/hyperlink" Target="https://doi.org/10.1056/NEJMsa2414435" TargetMode="External"/><Relationship Id="rId107" Type="http://schemas.openxmlformats.org/officeDocument/2006/relationships/hyperlink" Target="https://www.cbpp.org/sites/default/files/atoms/files/5-6-20econ.pdf" TargetMode="External"/><Relationship Id="rId11" Type="http://schemas.openxmlformats.org/officeDocument/2006/relationships/hyperlink" Target="https://www.cms.gov/files/document/chapter-1-program-overview-and-policy.pdf" TargetMode="External"/><Relationship Id="rId32" Type="http://schemas.openxmlformats.org/officeDocument/2006/relationships/hyperlink" Target="https://www.dhcs.ca.gov/Medi-Cal/Pages/Help/asset-limits-faqs.aspx" TargetMode="External"/><Relationship Id="rId37" Type="http://schemas.openxmlformats.org/officeDocument/2006/relationships/hyperlink" Target="https://www.commonwealthfund.org/publications/issue-briefs/2004/may/how-asset-tests-block-low-income-medicare-beneficiaries-needed" TargetMode="External"/><Relationship Id="rId53" Type="http://schemas.openxmlformats.org/officeDocument/2006/relationships/hyperlink" Target="https://www.macpac.gov/wp-content/uploads/2020/10/State-Compliance-with-Electronic-Asset-Verification-Requirements.pdf" TargetMode="External"/><Relationship Id="rId58" Type="http://schemas.openxmlformats.org/officeDocument/2006/relationships/hyperlink" Target="https://files.kff.org/attachment/Barriers-to-Medicaid-Enrollment-for-Seniors-Findings-from-10-Focus-Groups-with-Low-Income-Seniors-Report" TargetMode="External"/><Relationship Id="rId74" Type="http://schemas.openxmlformats.org/officeDocument/2006/relationships/hyperlink" Target="https://doi.org/10.1377/hlthaff.2020.02272" TargetMode="External"/><Relationship Id="rId79" Type="http://schemas.openxmlformats.org/officeDocument/2006/relationships/hyperlink" Target="https://www.cms.gov/newsroom/fact-sheets/2026-medicare-parts-b-premiums-deductibles" TargetMode="External"/><Relationship Id="rId102" Type="http://schemas.openxmlformats.org/officeDocument/2006/relationships/hyperlink" Target="https://www.federalregister.gov/documents/2023/09/21/2023-20382/streamlining-medicaid-medicare-savings-program-eligibility-determination-and-enrollment" TargetMode="External"/><Relationship Id="rId123" Type="http://schemas.openxmlformats.org/officeDocument/2006/relationships/hyperlink" Target="https://doi.org/10.1080/10875549.2021.1925801" TargetMode="External"/><Relationship Id="rId128" Type="http://schemas.openxmlformats.org/officeDocument/2006/relationships/hyperlink" Target="https://www.aarp.org/content/dam/aarp/ppi/topics/health/coverage-access/medicare-savings-programs-most-who-are-eligible-hold-few-assets.doi.10.26419-2fppi.00406.001.pdf" TargetMode="External"/><Relationship Id="rId5" Type="http://schemas.openxmlformats.org/officeDocument/2006/relationships/hyperlink" Target="https://doi.org/10.1007/s11606-025-09789-9" TargetMode="External"/><Relationship Id="rId90" Type="http://schemas.openxmlformats.org/officeDocument/2006/relationships/hyperlink" Target="https://www.macpac.gov/publication/compendium-state-medicaid-payment-policies-for-medicare-cost-sharing/" TargetMode="External"/><Relationship Id="rId95" Type="http://schemas.openxmlformats.org/officeDocument/2006/relationships/hyperlink" Target="https://ljfo.vermont.gov/assets/Publications/2023-2024-House-BIlls/c8a3ca8d83/GENERAL-374922-v9-2024_H_721_Medicaid_Expansion-HOUSE-PASSED.pdf" TargetMode="External"/><Relationship Id="rId22" Type="http://schemas.openxmlformats.org/officeDocument/2006/relationships/hyperlink" Target="https://www.macpac.gov/&#8203;publication/&#8203;chapter-3-improving-participation-in-the-medicare-savings-programs&#8203;" TargetMode="External"/><Relationship Id="rId27" Type="http://schemas.openxmlformats.org/officeDocument/2006/relationships/hyperlink" Target="https://www.cms.gov/data-research/research/statistical-resources-dually-eligible-beneficiaries/mmco-statistical-analytic-reports" TargetMode="External"/><Relationship Id="rId43" Type="http://schemas.openxmlformats.org/officeDocument/2006/relationships/hyperlink" Target="https://www.aarp.org/content/dam/aarp/ppi/topics/health/coverage-access/medicare-savings-program-enrollment-increases.doi.10.26419-2Fppi.00210.001.pdf" TargetMode="External"/><Relationship Id="rId48" Type="http://schemas.openxmlformats.org/officeDocument/2006/relationships/hyperlink" Target="https://www.cms.gov/newsroom/fact-sheets/2026-medicare-parts-b-premiums-deductibles" TargetMode="External"/><Relationship Id="rId64" Type="http://schemas.openxmlformats.org/officeDocument/2006/relationships/hyperlink" Target="https://nam10.safelinks.protection.outlook.com/?url=https%3A%2F%2Fwww.cms.gov%2Fmedicare%2Fregulations-guidance%2Flegislation%2Fpaperwork-reduction-act-1995%2Fpra-listing%2Fcms-10891.&amp;data=05%7C02%7Ctim%40adhealthpolicylab.org%7Cf0c000f00cfd49e8b30c08de85002c7c%7C51cba11037c240579d288523a4e6febf%7C1%7C0%7C639094432984040278%7CUnknown%7CTWFpbGZsb3d8eyJFbXB0eU1hcGkiOnRydWUsIlYiOiIwLjAuMDAwMCIsIlAiOiJXaW4zMiIsIkFOIjoiTWFpbCIsIldUIjoyfQ%3D%3D%7C0%7C%7C%7C&amp;sdata=XKw8AWAGSovfT0igDjwD16WKKtAzhPJS%2FXcT4dYMF28%3D&amp;reserved=0" TargetMode="External"/><Relationship Id="rId69" Type="http://schemas.openxmlformats.org/officeDocument/2006/relationships/hyperlink" Target="https://www.in.gov/fssa/ompp/files/Medicaid_PM_1600.pdf" TargetMode="External"/><Relationship Id="rId113" Type="http://schemas.openxmlformats.org/officeDocument/2006/relationships/hyperlink" Target="https://www.medicaid.gov/resources-for-states/downloads/macpro-ig-qualified-disabled-and-working-individuals.pdf" TargetMode="External"/><Relationship Id="rId118" Type="http://schemas.openxmlformats.org/officeDocument/2006/relationships/hyperlink" Target="https://www.dhcs.ca.gov/Medi-Cal/Pages/Help/asset-limits-faqs.aspx" TargetMode="External"/><Relationship Id="rId134" Type="http://schemas.openxmlformats.org/officeDocument/2006/relationships/hyperlink" Target="https://www.cms.gov/files/document/chapter-1-program-overview-and-policy.pdf" TargetMode="External"/><Relationship Id="rId139" Type="http://schemas.openxmlformats.org/officeDocument/2006/relationships/hyperlink" Target="https://secure.ssa.gov/poms.nsf/lnx/0501130140" TargetMode="External"/><Relationship Id="rId80" Type="http://schemas.openxmlformats.org/officeDocument/2006/relationships/hyperlink" Target="https://www.cms.gov/files/document/chapter-1-program-overview-and-policy.pdf" TargetMode="External"/><Relationship Id="rId85" Type="http://schemas.openxmlformats.org/officeDocument/2006/relationships/hyperlink" Target="https://www.cms.gov/medicare-medicaid-coordination/medicare-and-medicaid-coordination/medicare-medicaid-coordination-office/downloads/access_to_care_issues_among_qualified_medicare_beneficiaries.pdf" TargetMode="External"/><Relationship Id="rId12" Type="http://schemas.openxmlformats.org/officeDocument/2006/relationships/hyperlink" Target="https://www.macpac.gov/wp-content/uploads/2025/12/Dec25_MedPAC_MACPAC_DualsDataBook-WEB508-FINAL.pdf" TargetMode="External"/><Relationship Id="rId17" Type="http://schemas.openxmlformats.org/officeDocument/2006/relationships/hyperlink" Target="https://doi.org/10.1001/jamanetworkopen.2025.35408" TargetMode="External"/><Relationship Id="rId33" Type="http://schemas.openxmlformats.org/officeDocument/2006/relationships/hyperlink" Target="https://hcopub.dhs.state.mn.us/epm/4_2_3_1.htm" TargetMode="External"/><Relationship Id="rId38" Type="http://schemas.openxmlformats.org/officeDocument/2006/relationships/hyperlink" Target="https://www.aarp.org/content/dam/aarp/ppi/topics/health/coverage-access/medicare-savings-programs-most-who-are-eligible-hold-few-assets.doi.10.26419-2fppi.00406.001.pdf" TargetMode="External"/><Relationship Id="rId59" Type="http://schemas.openxmlformats.org/officeDocument/2006/relationships/hyperlink" Target="https://www.kff.org/affordable-care-act/kff-survey-of-consumer-experiences-with-health-insurance/" TargetMode="External"/><Relationship Id="rId103" Type="http://schemas.openxmlformats.org/officeDocument/2006/relationships/hyperlink" Target="https://www.medicaid.gov/federal-policy-guidance/downloads/cib11182025.pdf" TargetMode="External"/><Relationship Id="rId108" Type="http://schemas.openxmlformats.org/officeDocument/2006/relationships/hyperlink" Target="https://www.dol.gov/agencies/wb/topics/grandparents-raising-grandkids" TargetMode="External"/><Relationship Id="rId124" Type="http://schemas.openxmlformats.org/officeDocument/2006/relationships/hyperlink" Target="https://doi.org/10.52324/001c.8381" TargetMode="External"/><Relationship Id="rId129" Type="http://schemas.openxmlformats.org/officeDocument/2006/relationships/hyperlink" Target="https://doi.org/10.1377/hlthaff.24.1.263" TargetMode="External"/><Relationship Id="rId54" Type="http://schemas.openxmlformats.org/officeDocument/2006/relationships/hyperlink" Target="https://www.cms.gov/files/document/chapter-1-program-overview-and-policy.pdf" TargetMode="External"/><Relationship Id="rId70" Type="http://schemas.openxmlformats.org/officeDocument/2006/relationships/hyperlink" Target="https://www.mass.gov/doc/eom-23-04-medicare-savings-buy-in-programs-0/download" TargetMode="External"/><Relationship Id="rId75" Type="http://schemas.openxmlformats.org/officeDocument/2006/relationships/hyperlink" Target="https://doi.org/10.1111/1468-0009.70076" TargetMode="External"/><Relationship Id="rId91" Type="http://schemas.openxmlformats.org/officeDocument/2006/relationships/hyperlink" Target="https://www.medpac.gov/wp-content/uploads/2024/03/Mar24_Ch14_MedPAC_Report_To_Congress_SEC.pdf" TargetMode="External"/><Relationship Id="rId96" Type="http://schemas.openxmlformats.org/officeDocument/2006/relationships/hyperlink" Target="https://www.medicaid.gov/sites/default/files/2019-12/medicaid-eligibilty-memo.pdf" TargetMode="External"/><Relationship Id="rId140" Type="http://schemas.openxmlformats.org/officeDocument/2006/relationships/hyperlink" Target="https://secure.ssa.gov/poms.nsf/lnx/0501130140" TargetMode="External"/><Relationship Id="rId1" Type="http://schemas.openxmlformats.org/officeDocument/2006/relationships/hyperlink" Target="https://www.kff.org/medicare/health-costs-consume-a-large-portion-of-income-for-millions-of-people-with-medicare" TargetMode="External"/><Relationship Id="rId6" Type="http://schemas.openxmlformats.org/officeDocument/2006/relationships/hyperlink" Target="https://thepeoplesay.org/data/show/Yingtong-06" TargetMode="External"/><Relationship Id="rId23" Type="http://schemas.openxmlformats.org/officeDocument/2006/relationships/hyperlink" Target="https://www.gao.gov/assets/gao-12-871.pdf" TargetMode="External"/><Relationship Id="rId28" Type="http://schemas.openxmlformats.org/officeDocument/2006/relationships/hyperlink" Target="https://assets.ncoa.org/ffacfe7d-10b6-0083-2632-604077fd4eca/467f43a0-d595-483b-8fdb-be068ab9cbbf/2024_Medicare_Cliff_Report.pdf" TargetMode="External"/><Relationship Id="rId49" Type="http://schemas.openxmlformats.org/officeDocument/2006/relationships/hyperlink" Target="https://www.commonwealthfund.org/sites/default/files/2023-10/PDF_Jacobson_can_medicare_beneficiaries_afford_health_care_2023_survey_chartpack_final.pdf" TargetMode="External"/><Relationship Id="rId114" Type="http://schemas.openxmlformats.org/officeDocument/2006/relationships/hyperlink" Target="https://www.medicaid.gov/resources-for-states/downloads/macpro-ig-qualified-disabled-and-working-individuals.pdf" TargetMode="External"/><Relationship Id="rId119" Type="http://schemas.openxmlformats.org/officeDocument/2006/relationships/hyperlink" Target="https://hcopub.dhs.state.mn.us/epm/4_2_3_1.htm" TargetMode="External"/><Relationship Id="rId44" Type="http://schemas.openxmlformats.org/officeDocument/2006/relationships/hyperlink" Target="https://doi.org/10.1377/hlthaff.24.1.263" TargetMode="External"/><Relationship Id="rId60" Type="http://schemas.openxmlformats.org/officeDocument/2006/relationships/hyperlink" Target="https://www.medicarerights.org/pdf/2023-helpline-trends-report.pdf" TargetMode="External"/><Relationship Id="rId65" Type="http://schemas.openxmlformats.org/officeDocument/2006/relationships/hyperlink" Target="https://doi.org/10.1007/s11606-025-09789-9" TargetMode="External"/><Relationship Id="rId81" Type="http://schemas.openxmlformats.org/officeDocument/2006/relationships/hyperlink" Target="https://www.federalregister.gov/documents/2023/09/21/2023-20382/streamlining-medicaid-medicare-savings-program-eligibility-determination-and-enrollment" TargetMode="External"/><Relationship Id="rId86" Type="http://schemas.openxmlformats.org/officeDocument/2006/relationships/hyperlink" Target="https://www.aarp.org/content/dam/aarp/ppi/topics/health/coverage-access/medicare-savings-program-enrollment-increases.doi.10.26419-2Fppi.00210.001.pdf" TargetMode="External"/><Relationship Id="rId130" Type="http://schemas.openxmlformats.org/officeDocument/2006/relationships/hyperlink" Target="https://doi.org/10.1093/jnci/djz183" TargetMode="External"/><Relationship Id="rId135" Type="http://schemas.openxmlformats.org/officeDocument/2006/relationships/hyperlink" Target="https://www.commonwealthfund.org/sites/default/files/2023-10/PDF_Jacobson_can_medicare_beneficiaries_afford_health_care_2023_survey_chartpack_final.pdf" TargetMode="External"/><Relationship Id="rId13" Type="http://schemas.openxmlformats.org/officeDocument/2006/relationships/hyperlink" Target="https://www.ssa.gov/pubs/EN-05-10508.pdf" TargetMode="External"/><Relationship Id="rId18" Type="http://schemas.openxmlformats.org/officeDocument/2006/relationships/hyperlink" Target="https://www.macpac.gov/publication/medicare-savings-programs-new-estimates-continue-to-show-many-eligible-individuals-not-enrolled" TargetMode="External"/><Relationship Id="rId39" Type="http://schemas.openxmlformats.org/officeDocument/2006/relationships/hyperlink" Target="https://assets.ncoa.org/ffacfe7d-10b6-0083-2632-604077fd4eca/df44501b-7c8e-43ac-8e12-2373288f71d4/2025_80_Percent_Report.pdf" TargetMode="External"/><Relationship Id="rId109" Type="http://schemas.openxmlformats.org/officeDocument/2006/relationships/hyperlink" Target="https://www.gksnetwork.org/grandfacts-fact-sheets" TargetMode="External"/><Relationship Id="rId34" Type="http://schemas.openxmlformats.org/officeDocument/2006/relationships/hyperlink" Target="https://www.cms.gov/&#8203;files/&#8203;document/&#8203;navigatingmedicare-savings-program-msp-eligibilityexperience-journey-map.pdf" TargetMode="External"/><Relationship Id="rId50" Type="http://schemas.openxmlformats.org/officeDocument/2006/relationships/hyperlink" Target="https://doi.org/10.1001/jamainternmed.2023.0512" TargetMode="External"/><Relationship Id="rId55" Type="http://schemas.openxmlformats.org/officeDocument/2006/relationships/hyperlink" Target="https://www.cms.gov/files/document/2025-medicaid-chip-supplemental-improper-payment-data.pdf" TargetMode="External"/><Relationship Id="rId76" Type="http://schemas.openxmlformats.org/officeDocument/2006/relationships/hyperlink" Target="https://doi.org/10.1377/hlthaff.24.1.263" TargetMode="External"/><Relationship Id="rId97" Type="http://schemas.openxmlformats.org/officeDocument/2006/relationships/hyperlink" Target="https://www.myflfamilies.com/sites/default/files/2025-05/Appendix_A-7-Family-Related_Medicaid_Income_Limit_Chart.pdf" TargetMode="External"/><Relationship Id="rId104" Type="http://schemas.openxmlformats.org/officeDocument/2006/relationships/hyperlink" Target="https://www.cms.gov/files/document/chapter-1-program-overview-and-policy.pdf" TargetMode="External"/><Relationship Id="rId120" Type="http://schemas.openxmlformats.org/officeDocument/2006/relationships/hyperlink" Target="https://thepeoplesay.org/data/show/Rebecca-06" TargetMode="External"/><Relationship Id="rId125" Type="http://schemas.openxmlformats.org/officeDocument/2006/relationships/hyperlink" Target="https://lutheranservices.org/rural-voices/?utm_medium=email&amp;_hsenc=p2ANqtz-9Gl2h4f6HqNxwpgfJEfhWZf5cF3OIrmStmOKJ-EXkq-hH8ebOuZiXklC28fSm69x7EYJlAfHuvc5kcpRgNP4MGkC8ToogrvGTSAKoSbMfYFFtFgtQ&amp;_hsmi=411335418&amp;utm_content=411335418&amp;utm_source=hs_automation" TargetMode="External"/><Relationship Id="rId7" Type="http://schemas.openxmlformats.org/officeDocument/2006/relationships/hyperlink" Target="https://thepeoplesay.org/data/show/Gretchen-05" TargetMode="External"/><Relationship Id="rId71" Type="http://schemas.openxmlformats.org/officeDocument/2006/relationships/hyperlink" Target="https://dvha.vermont.gov/members/medicare-savings-program" TargetMode="External"/><Relationship Id="rId92" Type="http://schemas.openxmlformats.org/officeDocument/2006/relationships/hyperlink" Target="https://www.cms.gov/Medicare/Health-Plans/MedicareAdvtgSpecRateStats/Downloads/RiskAdj2017ProposedChanges.pdf" TargetMode="External"/><Relationship Id="rId2" Type="http://schemas.openxmlformats.org/officeDocument/2006/relationships/hyperlink" Target="https://aspe.hhs.gov/sites/default/files/documents/b1bfa16b20ae9b89d525bc35de7c1643/detailed-guidelines-2026.pdf" TargetMode="External"/><Relationship Id="rId29" Type="http://schemas.openxmlformats.org/officeDocument/2006/relationships/hyperlink" Target="https://www.medicaid.gov/resources-for-states/downloads/macpro-ig-less-restrictive-resource-methodologies-1902r2.pdf" TargetMode="External"/><Relationship Id="rId24" Type="http://schemas.openxmlformats.org/officeDocument/2006/relationships/hyperlink" Target="https://www.medicaid.gov/federal-policy-guidance/downloads/cib11182025.pdf" TargetMode="External"/><Relationship Id="rId40" Type="http://schemas.openxmlformats.org/officeDocument/2006/relationships/hyperlink" Target="https://www.kff.org/medicare/income-and-assets-of-medicare-beneficiaries" TargetMode="External"/><Relationship Id="rId45" Type="http://schemas.openxmlformats.org/officeDocument/2006/relationships/hyperlink" Target="https://doi.org/10.1093/jnci/djz183" TargetMode="External"/><Relationship Id="rId66" Type="http://schemas.openxmlformats.org/officeDocument/2006/relationships/hyperlink" Target="https://www.medicaid.gov/resources-for-states/downloads/macpro-ig-qualified-medicare-beneficiaries.pdf" TargetMode="External"/><Relationship Id="rId87" Type="http://schemas.openxmlformats.org/officeDocument/2006/relationships/hyperlink" Target="https://www.macpac.gov/wp-content/uploads/2024/06/MACPAC_June-2024-Chapter-3-Medicare-Savings-Programs-Enrollment-Trends.pdf" TargetMode="External"/><Relationship Id="rId110" Type="http://schemas.openxmlformats.org/officeDocument/2006/relationships/hyperlink" Target="https://www.federalregister.gov/documents/2023/09/21/2023-20382/streamlining-medicaid-medicare-savings-program-eligibility-determination-and-enrollment" TargetMode="External"/><Relationship Id="rId115" Type="http://schemas.openxmlformats.org/officeDocument/2006/relationships/hyperlink" Target="https://img1.scdhhs.gov/mppm/" TargetMode="External"/><Relationship Id="rId131" Type="http://schemas.openxmlformats.org/officeDocument/2006/relationships/hyperlink" Target="https://doi.org/10.1056/NEJMsa2414435" TargetMode="External"/><Relationship Id="rId136" Type="http://schemas.openxmlformats.org/officeDocument/2006/relationships/hyperlink" Target="https://doi.org/10.1001/jamainternmed.2023.0512" TargetMode="External"/><Relationship Id="rId61" Type="http://schemas.openxmlformats.org/officeDocument/2006/relationships/hyperlink" Target="https://www.kff.org/medicare/overall-satisfaction-with-medicare-is-high-but-beneficiaries-under-age-65-with-disabilities-experience-more-insurance-problems-than-older-beneficiaries/" TargetMode="External"/><Relationship Id="rId82" Type="http://schemas.openxmlformats.org/officeDocument/2006/relationships/hyperlink" Target="https://doi.org/10.1001/jamainternmed.2023.0512" TargetMode="External"/><Relationship Id="rId19" Type="http://schemas.openxmlformats.org/officeDocument/2006/relationships/hyperlink" Target="https://aspe.hhs.gov/sites/default/files/documents/f9311ce78b51111648aa10aca69c953c/medicare-savings-programs-final-report.pdf" TargetMode="External"/><Relationship Id="rId14" Type="http://schemas.openxmlformats.org/officeDocument/2006/relationships/hyperlink" Target="https://doi.org/10.1377/hlthaff.24.1.263" TargetMode="External"/><Relationship Id="rId30" Type="http://schemas.openxmlformats.org/officeDocument/2006/relationships/hyperlink" Target="https://www.medicaid.gov/resources-for-states/downloads/macpro-ig-qualified-disabled-and-working-individuals.pdf" TargetMode="External"/><Relationship Id="rId35" Type="http://schemas.openxmlformats.org/officeDocument/2006/relationships/hyperlink" Target="https://files.kff.org/attachment/Barriers-to-Medicaid-Enrollment-for-Seniors-Findings-from-10-Focus-Groups-with-Low-Income-Seniors-Report" TargetMode="External"/><Relationship Id="rId56" Type="http://schemas.openxmlformats.org/officeDocument/2006/relationships/hyperlink" Target="https://www.medicaid.gov/federal-policy-guidance/downloads/cib11182025.pdf" TargetMode="External"/><Relationship Id="rId77" Type="http://schemas.openxmlformats.org/officeDocument/2006/relationships/hyperlink" Target="https://doi.org/10.1093/jnci/djz183" TargetMode="External"/><Relationship Id="rId100" Type="http://schemas.openxmlformats.org/officeDocument/2006/relationships/hyperlink" Target="https://www.pewresearch.org/wp-content/uploads/sites/20/2022/03/PSDT_03.24.22_multigenerationalhouseholds.report.pdf" TargetMode="External"/><Relationship Id="rId105" Type="http://schemas.openxmlformats.org/officeDocument/2006/relationships/hyperlink" Target="https://www.ssa.gov/pubs/EN-05-10508.pdf" TargetMode="External"/><Relationship Id="rId126" Type="http://schemas.openxmlformats.org/officeDocument/2006/relationships/hyperlink" Target="https://assets.ncoa.org/ffacfe7d-10b6-0083-2632-604077fd4eca/467f43a0-d595-483b-8fdb-be068ab9cbbf/2024_Medicare_Cliff_Report.pdf" TargetMode="External"/><Relationship Id="rId8" Type="http://schemas.openxmlformats.org/officeDocument/2006/relationships/hyperlink" Target="https://assets.ncoa.org/ffacfe7d-10b6-0083-2632-604077fd4eca/467f43a0-d595-483b-8fdb-be068ab9cbbf/2024_Medicare_Cliff_Report.pdf" TargetMode="External"/><Relationship Id="rId51" Type="http://schemas.openxmlformats.org/officeDocument/2006/relationships/hyperlink" Target="https://justiceinaging.org/wp-content/uploads/2022/03/Expanding-Health-Care-Affordability.pdf" TargetMode="External"/><Relationship Id="rId72" Type="http://schemas.openxmlformats.org/officeDocument/2006/relationships/hyperlink" Target="https://dhcf.dc.gov/sites/default/files/dc/sites/dhcf/publication/attachments/QMB_Policy.pdf" TargetMode="External"/><Relationship Id="rId93" Type="http://schemas.openxmlformats.org/officeDocument/2006/relationships/hyperlink" Target="https://www.cms.gov/data-research/research/statistical-resources-dually-eligible-beneficiaries/mmco-statistical-analytic-reports" TargetMode="External"/><Relationship Id="rId98" Type="http://schemas.openxmlformats.org/officeDocument/2006/relationships/hyperlink" Target="https://aspe.hhs.gov/sites/default/files/documents/b1bfa16b20ae9b89d525bc35de7c1643/detailed-guidelines-2026.pdf" TargetMode="External"/><Relationship Id="rId121" Type="http://schemas.openxmlformats.org/officeDocument/2006/relationships/hyperlink" Target="https://www.cms.gov/&#8203;files/&#8203;document/&#8203;navigatingmedicare-savings-program-msp-eligibilityexperience-journey-map.pdf" TargetMode="External"/><Relationship Id="rId3" Type="http://schemas.openxmlformats.org/officeDocument/2006/relationships/hyperlink" Target="https://www.cms.gov/newsroom/fact-sheets/2026-medicare-parts-b-premiums-deductibles" TargetMode="External"/><Relationship Id="rId25" Type="http://schemas.openxmlformats.org/officeDocument/2006/relationships/hyperlink" Target="https://www.medicaid.gov/medicaid/eligibility-policy/seniors-medicare-and-medicaid-enrollees" TargetMode="External"/><Relationship Id="rId46" Type="http://schemas.openxmlformats.org/officeDocument/2006/relationships/hyperlink" Target="https://doi.org/10.1056/NEJMsa2414435" TargetMode="External"/><Relationship Id="rId67" Type="http://schemas.openxmlformats.org/officeDocument/2006/relationships/hyperlink" Target="https://www.medicaid.gov/resources-for-states/downloads/macpro-ig-qualifying-individuals.pdf" TargetMode="External"/><Relationship Id="rId116" Type="http://schemas.openxmlformats.org/officeDocument/2006/relationships/hyperlink" Target="https://ecom.wyo.gov/tables/table8" TargetMode="External"/><Relationship Id="rId137" Type="http://schemas.openxmlformats.org/officeDocument/2006/relationships/hyperlink" Target="https://www.npr.org/2024/06/08/g-s1-3475/social-security-ssi-asset-limits" TargetMode="External"/><Relationship Id="rId20" Type="http://schemas.openxmlformats.org/officeDocument/2006/relationships/hyperlink" Target="https://www.cms.gov/files/document/navigating-medicare-savings-program-msp-eligibility-experience-journey-map.pdf" TargetMode="External"/><Relationship Id="rId41" Type="http://schemas.openxmlformats.org/officeDocument/2006/relationships/hyperlink" Target="https://www.macpac.gov/wp-content/uploads/2023/09/Increasing-the-Rate-of-Ex-Parte-Renewals-Brief.pdf" TargetMode="External"/><Relationship Id="rId62" Type="http://schemas.openxmlformats.org/officeDocument/2006/relationships/hyperlink" Target="https://www.cms.gov/data-research/research/statistical-resources-dually-eligible-beneficiaries/mmco-statistical-analytic-reports" TargetMode="External"/><Relationship Id="rId83" Type="http://schemas.openxmlformats.org/officeDocument/2006/relationships/hyperlink" Target="https://www.medicaid.gov/resources-for-states/downloads/macpro-ig-qualifying-individuals.pdf" TargetMode="External"/><Relationship Id="rId88" Type="http://schemas.openxmlformats.org/officeDocument/2006/relationships/hyperlink" Target="https://app.leg.wa.gov/ReportsToTheLegislature/Home/GetPDF?fileName=Medicare%20Cliff%20Proviso%20Report%20-%20FINAL%2001-11-23_c3f3dc6f-f440-4647-ac90-2029b26ae22a.pdf" TargetMode="External"/><Relationship Id="rId111" Type="http://schemas.openxmlformats.org/officeDocument/2006/relationships/hyperlink" Target="https://thepeoplesay.org/data/show/Jennifer-10" TargetMode="External"/><Relationship Id="rId132" Type="http://schemas.openxmlformats.org/officeDocument/2006/relationships/hyperlink" Target="https://thepeoplesay.org/transcripts/show/tiffany-july-2025" TargetMode="External"/><Relationship Id="rId15" Type="http://schemas.openxmlformats.org/officeDocument/2006/relationships/hyperlink" Target="https://doi.org/10.1001/jamainternmed.2023.0512" TargetMode="External"/><Relationship Id="rId36" Type="http://schemas.openxmlformats.org/officeDocument/2006/relationships/hyperlink" Target="https://www.kff.org/wp-content/uploads/2013/01/medicaid-programs-to-assist-low-income-medicare-beneficiaries-medicare-savings-programs-case-study-findings-background-paper.pdf" TargetMode="External"/><Relationship Id="rId57" Type="http://schemas.openxmlformats.org/officeDocument/2006/relationships/hyperlink" Target="https://doi.org/10.1111/1468-0009.70076" TargetMode="External"/><Relationship Id="rId106" Type="http://schemas.openxmlformats.org/officeDocument/2006/relationships/hyperlink" Target="https://www.gao.gov/assets/gao-26-107658.pdf" TargetMode="External"/><Relationship Id="rId127" Type="http://schemas.openxmlformats.org/officeDocument/2006/relationships/hyperlink" Target="https://www.commonwealthfund.org/publications/issue-briefs/2004/may/how-asset-tests-block-low-income-medicare-beneficiaries-needed" TargetMode="External"/><Relationship Id="rId10" Type="http://schemas.openxmlformats.org/officeDocument/2006/relationships/hyperlink" Target="https://www.medicare.gov/basics/costs/help/drug-costs" TargetMode="External"/><Relationship Id="rId31" Type="http://schemas.openxmlformats.org/officeDocument/2006/relationships/hyperlink" Target="https://justiceinaging.org/final-rule-enrollment-in-medicare-savings-programs/" TargetMode="External"/><Relationship Id="rId52" Type="http://schemas.openxmlformats.org/officeDocument/2006/relationships/hyperlink" Target="https://www.cbpp.org/sites/default/files/6-26-23socsec.pdf" TargetMode="External"/><Relationship Id="rId73" Type="http://schemas.openxmlformats.org/officeDocument/2006/relationships/hyperlink" Target="https://assets.ncoa.org/ffacfe7d-10b6-0083-2632-604077fd4eca/467f43a0-d595-483b-8fdb-be068ab9cbbf/2024_Medicare_Cliff_Report.pdf" TargetMode="External"/><Relationship Id="rId78" Type="http://schemas.openxmlformats.org/officeDocument/2006/relationships/hyperlink" Target="https://doi.org/10.1056/NEJMsa2414435" TargetMode="External"/><Relationship Id="rId94" Type="http://schemas.openxmlformats.org/officeDocument/2006/relationships/hyperlink" Target="https://docs.google.com/viewerng/viewer?url=https://www.medicarerights.org/pdf/msp-expansion-brief-ny-2023.pdf" TargetMode="External"/><Relationship Id="rId99" Type="http://schemas.openxmlformats.org/officeDocument/2006/relationships/hyperlink" Target="https://thepeoplesay.org/transcripts/show/jennifer-july-2025" TargetMode="External"/><Relationship Id="rId101" Type="http://schemas.openxmlformats.org/officeDocument/2006/relationships/hyperlink" Target="https://doi.org/10.1001/jamainternmed.2023.0512" TargetMode="External"/><Relationship Id="rId122" Type="http://schemas.openxmlformats.org/officeDocument/2006/relationships/hyperlink" Target="https://www.kff.org/wp-content/uploads/2013/01/medicaid-programs-to-assist-low-income-medicare-beneficiaries-medicare-savings-programs-case-study-findings-background-paper.pdf" TargetMode="External"/><Relationship Id="rId4" Type="http://schemas.openxmlformats.org/officeDocument/2006/relationships/hyperlink" Target="https://www.medicare.gov/basics/costs/medicare-costs" TargetMode="External"/><Relationship Id="rId9" Type="http://schemas.openxmlformats.org/officeDocument/2006/relationships/hyperlink" Target="https://www.kff.org/medicare/overall-satisfaction-with-medicare-is-high-but-beneficiaries-under-age-65-with-disabilities-experience-more-insurance-problems-than-older-beneficiaries" TargetMode="External"/><Relationship Id="rId26" Type="http://schemas.openxmlformats.org/officeDocument/2006/relationships/hyperlink" Target="https://www.kff.org/medicaid/medicaid-financing-the-basics" TargetMode="External"/><Relationship Id="rId47" Type="http://schemas.openxmlformats.org/officeDocument/2006/relationships/hyperlink" Target="https://aspe.hhs.gov/sites/default/files/documents/b1bfa16b20ae9b89d525bc35de7c1643/detailed-guidelines-2026.pdf" TargetMode="External"/><Relationship Id="rId68" Type="http://schemas.openxmlformats.org/officeDocument/2006/relationships/hyperlink" Target="https://www.health.ny.gov/health_care/medicaid/publications/docs/gis/22ma10.pdf" TargetMode="External"/><Relationship Id="rId89" Type="http://schemas.openxmlformats.org/officeDocument/2006/relationships/hyperlink" Target="https://westhealth.org/wp-content/uploads/2024/12/MSP-Brief_20241212_174643.pdf" TargetMode="External"/><Relationship Id="rId112" Type="http://schemas.openxmlformats.org/officeDocument/2006/relationships/hyperlink" Target="https://www.medicaid.gov/resources-for-states/downloads/macpro-ig-less-restrictive-resource-methodologies-1902r2.pdf" TargetMode="External"/><Relationship Id="rId133" Type="http://schemas.openxmlformats.org/officeDocument/2006/relationships/hyperlink" Target="https://www.cms.gov/newsroom/fact-sheets/2026-medicare-parts-b-premiums-deductib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Desktop\Aging\Ad%20Health%20Policy%20Lab%20Draft%20Paper%20Template%20UPDATED%2004082026.dotx" TargetMode="External"/></Relationships>
</file>

<file path=word/documenttasks/documenttasks1.xml><?xml version="1.0" encoding="utf-8"?>
<t:Tasks xmlns:t="http://schemas.microsoft.com/office/tasks/2019/documenttasks" xmlns:oel="http://schemas.microsoft.com/office/2019/extlst">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s>
</file>

<file path=word/theme/theme1.xml><?xml version="1.0" encoding="utf-8"?>
<a:theme xmlns:a="http://schemas.openxmlformats.org/drawingml/2006/main" name="Office Theme">
  <a:themeElements>
    <a:clrScheme name="Custom 1">
      <a:dk1>
        <a:srgbClr val="414150"/>
      </a:dk1>
      <a:lt1>
        <a:srgbClr val="FFFFFF"/>
      </a:lt1>
      <a:dk2>
        <a:srgbClr val="000000"/>
      </a:dk2>
      <a:lt2>
        <a:srgbClr val="FFFFFF"/>
      </a:lt2>
      <a:accent1>
        <a:srgbClr val="386641"/>
      </a:accent1>
      <a:accent2>
        <a:srgbClr val="6A994E"/>
      </a:accent2>
      <a:accent3>
        <a:srgbClr val="8F2D56"/>
      </a:accent3>
      <a:accent4>
        <a:srgbClr val="D8572A"/>
      </a:accent4>
      <a:accent5>
        <a:srgbClr val="04577C"/>
      </a:accent5>
      <a:accent6>
        <a:srgbClr val="AAAAA9"/>
      </a:accent6>
      <a:hlink>
        <a:srgbClr val="0563C1"/>
      </a:hlink>
      <a:folHlink>
        <a:srgbClr val="96607D"/>
      </a:folHlink>
    </a:clrScheme>
    <a:fontScheme name="DHCS - Segoe UI">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May 11, 2026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0e0cb9-bc73-42e0-a5db-0e70c6c7201e">
      <Terms xmlns="http://schemas.microsoft.com/office/infopath/2007/PartnerControls"/>
    </lcf76f155ced4ddcb4097134ff3c332f>
    <TaxCatchAll xmlns="4307d084-90ee-432d-b258-25efdf54a99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83AD756B53B94CA842D1EB4A5C5224" ma:contentTypeVersion="11" ma:contentTypeDescription="Create a new document." ma:contentTypeScope="" ma:versionID="c57021519fb8146e9943ace8a9ddab1e">
  <xsd:schema xmlns:xsd="http://www.w3.org/2001/XMLSchema" xmlns:xs="http://www.w3.org/2001/XMLSchema" xmlns:p="http://schemas.microsoft.com/office/2006/metadata/properties" xmlns:ns2="490e0cb9-bc73-42e0-a5db-0e70c6c7201e" xmlns:ns3="4307d084-90ee-432d-b258-25efdf54a998" targetNamespace="http://schemas.microsoft.com/office/2006/metadata/properties" ma:root="true" ma:fieldsID="e02a7ce9558672cda3dba4eeac2a8510" ns2:_="" ns3:_="">
    <xsd:import namespace="490e0cb9-bc73-42e0-a5db-0e70c6c7201e"/>
    <xsd:import namespace="4307d084-90ee-432d-b258-25efdf54a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0cb9-bc73-42e0-a5db-0e70c6c72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ca698-6991-41fe-bbcd-954629025f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7d084-90ee-432d-b258-25efdf54a9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a71a01-5bef-4490-9da8-0b87d7a033b7}" ma:internalName="TaxCatchAll" ma:showField="CatchAllData" ma:web="4307d084-90ee-432d-b258-25efdf54a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609160-3C73-4CB3-818A-EDBA5FAF949E}">
  <ds:schemaRefs>
    <ds:schemaRef ds:uri="http://schemas.openxmlformats.org/officeDocument/2006/bibliography"/>
  </ds:schemaRefs>
</ds:datastoreItem>
</file>

<file path=customXml/itemProps3.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4.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490e0cb9-bc73-42e0-a5db-0e70c6c7201e"/>
    <ds:schemaRef ds:uri="4307d084-90ee-432d-b258-25efdf54a998"/>
  </ds:schemaRefs>
</ds:datastoreItem>
</file>

<file path=customXml/itemProps5.xml><?xml version="1.0" encoding="utf-8"?>
<ds:datastoreItem xmlns:ds="http://schemas.openxmlformats.org/officeDocument/2006/customXml" ds:itemID="{6C997F6E-421D-4725-8DAA-8624C5E39C31}"/>
</file>

<file path=docMetadata/LabelInfo.xml><?xml version="1.0" encoding="utf-8"?>
<clbl:labelList xmlns:clbl="http://schemas.microsoft.com/office/2020/mipLabelMetadata">
  <clbl:label id="{34720645-5fdd-4302-8e87-9becee4e5aa1}" enabled="1" method="Standard" siteId="{265c2dcd-2a6e-43aa-b2e8-26421a8c8526}" removed="0"/>
</clbl:labelList>
</file>

<file path=docProps/app.xml><?xml version="1.0" encoding="utf-8"?>
<Properties xmlns="http://schemas.openxmlformats.org/officeDocument/2006/extended-properties" xmlns:vt="http://schemas.openxmlformats.org/officeDocument/2006/docPropsVTypes">
  <Template>Ad%20Health%20Policy%20Lab%20Draft%20Paper%20Template%20UPDATED%2004082026.dotx</Template>
  <TotalTime>658</TotalTime>
  <Pages>1</Pages>
  <Words>11528</Words>
  <Characters>65714</Characters>
  <Application>Microsoft Office Word</Application>
  <DocSecurity>4</DocSecurity>
  <Lines>547</Lines>
  <Paragraphs>154</Paragraphs>
  <ScaleCrop>false</ScaleCrop>
  <Company>Aging &amp; Disability Healthy Policy Lab</Company>
  <LinksUpToDate>false</LinksUpToDate>
  <CharactersWithSpaces>77088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Simplifying Access to Medicare Savings Programs</dc:title>
  <dc:subject>State Model Policies (For Public Comment)</dc:subject>
  <dc:creator>Aging &amp; Disability Healthy Policy Lab</dc:creator>
  <cp:keywords/>
  <dc:description/>
  <cp:lastModifiedBy>Sharon Lewis</cp:lastModifiedBy>
  <cp:revision>138</cp:revision>
  <cp:lastPrinted>2021-10-08T20:26:00Z</cp:lastPrinted>
  <dcterms:created xsi:type="dcterms:W3CDTF">2026-04-16T15:49:00Z</dcterms:created>
  <dcterms:modified xsi:type="dcterms:W3CDTF">2026-05-07T15:15:00Z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0x010100F883AD756B53B94CA842D1EB4A5C5224</vt:lpwstr>
  </property>
  <property fmtid="{D5CDD505-2E9C-101B-9397-08002B2CF9AE}" pid="3" name="GrammarlyDocumentId">
    <vt:lpwstr>2af2f65311609417c0fe5cdf4aceaef77e011b55a9c700f8e1013088a493c28e</vt:lpwstr>
  </property>
  <property fmtid="{D5CDD505-2E9C-101B-9397-08002B2CF9AE}" pid="4" name="MediaServiceImageTags">
    <vt:lpwstr/>
  </property>
  <property fmtid="{D5CDD505-2E9C-101B-9397-08002B2CF9AE}" pid="5" name="docLang">
    <vt:lpwstr>en</vt:lpwstr>
  </property>
</Properties>
</file>